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E36" w:rsidRDefault="0019469B" w:rsidP="00A07485">
      <w:pPr>
        <w:pStyle w:val="Kop1"/>
      </w:pPr>
      <w:r>
        <w:rPr>
          <w:noProof/>
        </w:rPr>
        <w:drawing>
          <wp:anchor distT="0" distB="0" distL="114300" distR="114300" simplePos="0" relativeHeight="251658240" behindDoc="0" locked="0" layoutInCell="1" allowOverlap="1">
            <wp:simplePos x="0" y="0"/>
            <wp:positionH relativeFrom="column">
              <wp:posOffset>3831649</wp:posOffset>
            </wp:positionH>
            <wp:positionV relativeFrom="paragraph">
              <wp:posOffset>3810</wp:posOffset>
            </wp:positionV>
            <wp:extent cx="1965960" cy="478155"/>
            <wp:effectExtent l="0" t="0" r="2540" b="4445"/>
            <wp:wrapSquare wrapText="bothSides"/>
            <wp:docPr id="10" name="Afbeelding 10" descr="Afbeelding met slaan, weg, ten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twerk-ibp.png"/>
                    <pic:cNvPicPr/>
                  </pic:nvPicPr>
                  <pic:blipFill>
                    <a:blip r:embed="rId5">
                      <a:extLst>
                        <a:ext uri="{28A0092B-C50C-407E-A947-70E740481C1C}">
                          <a14:useLocalDpi xmlns:a14="http://schemas.microsoft.com/office/drawing/2010/main" val="0"/>
                        </a:ext>
                      </a:extLst>
                    </a:blip>
                    <a:stretch>
                      <a:fillRect/>
                    </a:stretch>
                  </pic:blipFill>
                  <pic:spPr>
                    <a:xfrm>
                      <a:off x="0" y="0"/>
                      <a:ext cx="1965960" cy="478155"/>
                    </a:xfrm>
                    <a:prstGeom prst="rect">
                      <a:avLst/>
                    </a:prstGeom>
                  </pic:spPr>
                </pic:pic>
              </a:graphicData>
            </a:graphic>
            <wp14:sizeRelH relativeFrom="page">
              <wp14:pctWidth>0</wp14:pctWidth>
            </wp14:sizeRelH>
            <wp14:sizeRelV relativeFrom="page">
              <wp14:pctHeight>0</wp14:pctHeight>
            </wp14:sizeRelV>
          </wp:anchor>
        </w:drawing>
      </w:r>
      <w:r w:rsidR="000E0148">
        <w:t>Aanpak</w:t>
      </w:r>
      <w:r w:rsidR="007118DC">
        <w:t xml:space="preserve"> p</w:t>
      </w:r>
      <w:r w:rsidR="001A2E36">
        <w:t>eer review 2020</w:t>
      </w:r>
    </w:p>
    <w:p w:rsidR="001A2E36" w:rsidRDefault="001A2E36" w:rsidP="001A2E36"/>
    <w:p w:rsidR="001A2E36" w:rsidRDefault="001A2E36" w:rsidP="001A2E36">
      <w:r>
        <w:t xml:space="preserve">In 2019 hebben we voor de 5e keer de Benchmark IBP/E uitgevoerd. Deze benchmark is voor ons een belangrijk instrument om te beoordelen hoe de </w:t>
      </w:r>
      <w:r w:rsidR="0081307E">
        <w:t>mbo-</w:t>
      </w:r>
      <w:r>
        <w:t>sector ervoor staat op het gebied van informatiebeveiliging en privacy.</w:t>
      </w:r>
    </w:p>
    <w:p w:rsidR="001A2E36" w:rsidRDefault="001A2E36" w:rsidP="001A2E36"/>
    <w:p w:rsidR="001A2E36" w:rsidRDefault="001A2E36" w:rsidP="001A2E36">
      <w:r>
        <w:t xml:space="preserve">De resultaten hebben we tijdens onze netwerkbijeenkomst van 12 december 2019 teruggekoppeld. We hebben geconstateerd dat de benchmark, als zelfassessment, een zekere mate van onnauwkeurigheid kent. Er zijn een aantal oorzaken benoemd die kunnen leiden tot onderlinge interpretatieverschillen en afwijkingen. De peer review is een instrument om daar beter zicht op te krijgen en daarin een verbeterslag te kunnen maken. Zie ook de rapportage van de benchmark 2019: </w:t>
      </w:r>
      <w:hyperlink r:id="rId6" w:history="1">
        <w:r w:rsidR="0081307E" w:rsidRPr="004F68C5">
          <w:rPr>
            <w:rStyle w:val="Hyperlink"/>
          </w:rPr>
          <w:t>www.sambo-ict.nl/ibpdoc11e</w:t>
        </w:r>
      </w:hyperlink>
      <w:r w:rsidR="0081307E">
        <w:t>.</w:t>
      </w:r>
    </w:p>
    <w:p w:rsidR="001A2E36" w:rsidRDefault="001A2E36" w:rsidP="001A2E36"/>
    <w:p w:rsidR="001A2E36" w:rsidRDefault="001A2E36" w:rsidP="001A2E36">
      <w:r>
        <w:t xml:space="preserve">Door recente ontwikkelingen, zoals de </w:t>
      </w:r>
      <w:proofErr w:type="spellStart"/>
      <w:r>
        <w:t>ransomware</w:t>
      </w:r>
      <w:proofErr w:type="spellEnd"/>
      <w:r>
        <w:t>-aanval in Maastricht en de Citrix-affaire, wordt ook vanuit OCW gevraagd in hoeverre de mbo-sector in control is qua informatiebeveiliging. Daarbij voeren wij dan onze resultaten van de benchmark aan, waarbij een gemiddelde score van 2,5 en een deelname van 95% natuurlijk hele mooie resultaten zijn. Tegelijkertijd wordt ook vanuit die hoek de vraag gesteld in hoeverre onze benchmark, op basis van zelf-assessments, een voldoende betrouwbaar instrument is.</w:t>
      </w:r>
    </w:p>
    <w:p w:rsidR="001A2E36" w:rsidRDefault="001A2E36" w:rsidP="001A2E36"/>
    <w:p w:rsidR="001A2E36" w:rsidRDefault="001A2E36" w:rsidP="001A2E36">
      <w:r>
        <w:t xml:space="preserve">Kortom, het is tijd om nu echt werk te gaan maken van de peer review. Dit instrument is in 2018 voor het eerst ingezet en is in 2019 herhaald. </w:t>
      </w:r>
      <w:r w:rsidR="00A07485">
        <w:t>Aan deze laatste editie</w:t>
      </w:r>
      <w:r>
        <w:t xml:space="preserve"> hebben 11 instellingen deelgenomen. </w:t>
      </w:r>
      <w:r w:rsidR="0019469B" w:rsidRPr="0019469B">
        <w:t xml:space="preserve">De regiegroep </w:t>
      </w:r>
      <w:proofErr w:type="spellStart"/>
      <w:r w:rsidR="0019469B" w:rsidRPr="0019469B">
        <w:t>ibp</w:t>
      </w:r>
      <w:proofErr w:type="spellEnd"/>
      <w:r w:rsidR="0019469B" w:rsidRPr="0019469B">
        <w:t xml:space="preserve"> heeft de uitdrukkelijke wens uitgesproken dat alle instellingen die in 2019 de benchmark hebben ingevuld</w:t>
      </w:r>
      <w:r w:rsidR="0019469B">
        <w:t xml:space="preserve">, in 2020 </w:t>
      </w:r>
      <w:r w:rsidR="0019469B" w:rsidRPr="0019469B">
        <w:t>deelnemen aan de peer review.</w:t>
      </w:r>
    </w:p>
    <w:p w:rsidR="001A2E36" w:rsidRDefault="001A2E36" w:rsidP="001A2E36"/>
    <w:p w:rsidR="001A2E36" w:rsidRDefault="001A2E36" w:rsidP="001A2E36">
      <w:r>
        <w:t xml:space="preserve">De peer review is in zijn huidige opzet echter </w:t>
      </w:r>
      <w:r w:rsidR="00EE54BA">
        <w:t>vrij</w:t>
      </w:r>
      <w:r>
        <w:t xml:space="preserve"> tijdsintensief. Er wordt veel aandacht besteed aan </w:t>
      </w:r>
      <w:r w:rsidR="00A07485">
        <w:t xml:space="preserve">formele </w:t>
      </w:r>
      <w:r>
        <w:t xml:space="preserve">rapportages, waarin ook weer feedback vanuit de onderzochte instelling wordt meegenomen. De bevindingen worden vervolgens persoonlijk gepresenteerd. Voor het doel dat wij ermee voor ogen hebben is </w:t>
      </w:r>
      <w:r w:rsidR="00EE54BA">
        <w:t>deze grondige aanpak</w:t>
      </w:r>
      <w:r>
        <w:t xml:space="preserve"> wellicht wat zwaar aangezet</w:t>
      </w:r>
      <w:r w:rsidR="0081307E">
        <w:t>.</w:t>
      </w:r>
      <w:r>
        <w:t xml:space="preserve"> </w:t>
      </w:r>
      <w:r w:rsidR="00A07485">
        <w:t>D</w:t>
      </w:r>
      <w:r>
        <w:t xml:space="preserve">aarom doen wij hierbij een voorstel voor een </w:t>
      </w:r>
      <w:r w:rsidR="0081307E">
        <w:t xml:space="preserve">aangepaste </w:t>
      </w:r>
      <w:r>
        <w:t>variant van de peer review, die voor elke instelling haalbaar zou moeten zijn.</w:t>
      </w:r>
    </w:p>
    <w:p w:rsidR="0081307E" w:rsidRDefault="0081307E" w:rsidP="001A2E36"/>
    <w:p w:rsidR="00EE54BA" w:rsidRDefault="00EE54BA" w:rsidP="00A07485">
      <w:pPr>
        <w:pStyle w:val="Kop2"/>
      </w:pPr>
      <w:r>
        <w:t>Aanpak peer review 2020</w:t>
      </w:r>
    </w:p>
    <w:p w:rsidR="00EE54BA" w:rsidRDefault="0081307E" w:rsidP="001A2E36">
      <w:r>
        <w:t>Het onderwerp</w:t>
      </w:r>
      <w:r w:rsidR="00A07485">
        <w:t xml:space="preserve"> </w:t>
      </w:r>
      <w:r w:rsidR="00EE54BA">
        <w:t>is besproken in een werkgroepje tijdens de netwerkbijeenkomst van 12 december 2019 en is daarna verder uitgewerkt tot de volgend</w:t>
      </w:r>
      <w:r w:rsidR="00A07485">
        <w:t>e aanpak.</w:t>
      </w:r>
    </w:p>
    <w:p w:rsidR="001A2E36" w:rsidRDefault="001A2E36" w:rsidP="001A2E36">
      <w:pPr>
        <w:pStyle w:val="Lijstalinea"/>
        <w:numPr>
          <w:ilvl w:val="0"/>
          <w:numId w:val="1"/>
        </w:numPr>
      </w:pPr>
      <w:r>
        <w:t>De 10 te reviewen statements worden centraal vastgesteld en tijdig gecommuniceerd.</w:t>
      </w:r>
    </w:p>
    <w:p w:rsidR="001A2E36" w:rsidRDefault="001A2E36" w:rsidP="001A2E36">
      <w:pPr>
        <w:pStyle w:val="Lijstalinea"/>
        <w:numPr>
          <w:ilvl w:val="0"/>
          <w:numId w:val="1"/>
        </w:numPr>
      </w:pPr>
      <w:r>
        <w:t>Voor deze 10 statements wordt de bewijslast uitvoerig beschreven en toegelicht</w:t>
      </w:r>
      <w:r w:rsidR="00C26381">
        <w:t xml:space="preserve"> in een servicedocument.</w:t>
      </w:r>
    </w:p>
    <w:p w:rsidR="007118DC" w:rsidRDefault="007118DC" w:rsidP="007118DC">
      <w:pPr>
        <w:pStyle w:val="Lijstalinea"/>
        <w:numPr>
          <w:ilvl w:val="0"/>
          <w:numId w:val="1"/>
        </w:numPr>
      </w:pPr>
      <w:r>
        <w:t>De review moet in een dagdeel (3,5 uur) worden afgerond, de documentatie en/of onderbouwing van de bewijslast moet door de ontvangende instelling daarom goed worden voorbereid en op dat tijdslot worden afgestemd.</w:t>
      </w:r>
    </w:p>
    <w:p w:rsidR="001A2E36" w:rsidRDefault="007118DC" w:rsidP="007118DC">
      <w:pPr>
        <w:pStyle w:val="Lijstalinea"/>
        <w:numPr>
          <w:ilvl w:val="0"/>
          <w:numId w:val="1"/>
        </w:numPr>
      </w:pPr>
      <w:r>
        <w:t xml:space="preserve">Rapportage van de bevindingen gebeurt via een standaard (digitaal) formulier, waarbij de toelichting tot het hoogstnoodzakelijke wordt beperkt, er is verder geen </w:t>
      </w:r>
      <w:r w:rsidR="0081307E">
        <w:t xml:space="preserve">documentatie of </w:t>
      </w:r>
      <w:r>
        <w:t>nazorg</w:t>
      </w:r>
      <w:r w:rsidR="0081307E">
        <w:t xml:space="preserve"> vereist.</w:t>
      </w:r>
    </w:p>
    <w:p w:rsidR="007118DC" w:rsidRDefault="007118DC" w:rsidP="001A2E36">
      <w:pPr>
        <w:pStyle w:val="Lijstalinea"/>
        <w:numPr>
          <w:ilvl w:val="0"/>
          <w:numId w:val="1"/>
        </w:numPr>
      </w:pPr>
      <w:r>
        <w:lastRenderedPageBreak/>
        <w:t>De gegevens uit het formulier worden centraal verzameld, geanalyseerd en (geanonimiseerd) gerapporteerd.</w:t>
      </w:r>
    </w:p>
    <w:p w:rsidR="004508A9" w:rsidRDefault="001A2E36" w:rsidP="001A2E36">
      <w:pPr>
        <w:pStyle w:val="Lijstalinea"/>
        <w:numPr>
          <w:ilvl w:val="0"/>
          <w:numId w:val="1"/>
        </w:numPr>
      </w:pPr>
      <w:r>
        <w:t>Er worden drie scenario</w:t>
      </w:r>
      <w:r w:rsidR="00A07485">
        <w:t>’</w:t>
      </w:r>
      <w:r>
        <w:t>s aangeboden</w:t>
      </w:r>
      <w:r w:rsidR="00A07485">
        <w:t>:</w:t>
      </w:r>
    </w:p>
    <w:p w:rsidR="004508A9" w:rsidRDefault="001A2E36" w:rsidP="004508A9">
      <w:pPr>
        <w:pStyle w:val="Lijstalinea"/>
        <w:numPr>
          <w:ilvl w:val="1"/>
          <w:numId w:val="1"/>
        </w:numPr>
      </w:pPr>
      <w:proofErr w:type="gramStart"/>
      <w:r>
        <w:t>peer</w:t>
      </w:r>
      <w:proofErr w:type="gramEnd"/>
      <w:r>
        <w:t>-carrousel</w:t>
      </w:r>
    </w:p>
    <w:p w:rsidR="004508A9" w:rsidRDefault="001A2E36" w:rsidP="004508A9">
      <w:pPr>
        <w:pStyle w:val="Lijstalinea"/>
        <w:numPr>
          <w:ilvl w:val="1"/>
          <w:numId w:val="1"/>
        </w:numPr>
      </w:pPr>
      <w:proofErr w:type="gramStart"/>
      <w:r>
        <w:t>peer</w:t>
      </w:r>
      <w:proofErr w:type="gramEnd"/>
      <w:r w:rsidR="004508A9">
        <w:t xml:space="preserve"> </w:t>
      </w:r>
      <w:r>
        <w:t>review</w:t>
      </w:r>
      <w:r w:rsidR="004508A9">
        <w:t xml:space="preserve"> </w:t>
      </w:r>
      <w:r>
        <w:t>bijeenkomst</w:t>
      </w:r>
    </w:p>
    <w:p w:rsidR="001A2E36" w:rsidRDefault="001A2E36" w:rsidP="004508A9">
      <w:pPr>
        <w:pStyle w:val="Lijstalinea"/>
        <w:numPr>
          <w:ilvl w:val="1"/>
          <w:numId w:val="1"/>
        </w:numPr>
      </w:pPr>
      <w:proofErr w:type="gramStart"/>
      <w:r>
        <w:t>expert</w:t>
      </w:r>
      <w:proofErr w:type="gramEnd"/>
      <w:r w:rsidR="004508A9">
        <w:t xml:space="preserve"> </w:t>
      </w:r>
      <w:r>
        <w:t>review</w:t>
      </w:r>
    </w:p>
    <w:p w:rsidR="00203108" w:rsidRDefault="00203108" w:rsidP="00203108">
      <w:pPr>
        <w:pStyle w:val="Lijstalinea"/>
        <w:numPr>
          <w:ilvl w:val="0"/>
          <w:numId w:val="1"/>
        </w:numPr>
      </w:pPr>
      <w:r>
        <w:t>De planning is als volgt</w:t>
      </w:r>
      <w:r w:rsidR="00B94D1F">
        <w:t>:</w:t>
      </w:r>
    </w:p>
    <w:p w:rsidR="00203108" w:rsidRDefault="00B94D1F" w:rsidP="00B94D1F">
      <w:pPr>
        <w:pStyle w:val="Lijstalinea"/>
        <w:numPr>
          <w:ilvl w:val="1"/>
          <w:numId w:val="1"/>
        </w:numPr>
      </w:pPr>
      <w:r>
        <w:t>A</w:t>
      </w:r>
      <w:r w:rsidR="00203108">
        <w:t xml:space="preserve">anmelding </w:t>
      </w:r>
      <w:r>
        <w:t>instellingen (</w:t>
      </w:r>
      <w:r w:rsidR="00203108">
        <w:t>scenario 1-3</w:t>
      </w:r>
      <w:r>
        <w:t xml:space="preserve">): </w:t>
      </w:r>
      <w:r w:rsidR="0081307E">
        <w:t>uiterlijk 6 maart</w:t>
      </w:r>
    </w:p>
    <w:p w:rsidR="00203108" w:rsidRDefault="00203108" w:rsidP="00203108">
      <w:pPr>
        <w:pStyle w:val="Lijstalinea"/>
        <w:numPr>
          <w:ilvl w:val="1"/>
          <w:numId w:val="1"/>
        </w:numPr>
      </w:pPr>
      <w:proofErr w:type="gramStart"/>
      <w:r>
        <w:t>Communicatie servicedocument</w:t>
      </w:r>
      <w:proofErr w:type="gramEnd"/>
      <w:r w:rsidR="00A76C56">
        <w:t xml:space="preserve"> en indeling </w:t>
      </w:r>
      <w:proofErr w:type="spellStart"/>
      <w:r w:rsidR="00A76C56">
        <w:t>peers</w:t>
      </w:r>
      <w:proofErr w:type="spellEnd"/>
      <w:r w:rsidR="00B94D1F">
        <w:t xml:space="preserve">: </w:t>
      </w:r>
      <w:r w:rsidR="0081307E">
        <w:t>1</w:t>
      </w:r>
      <w:r w:rsidR="0019469B">
        <w:t xml:space="preserve">0 </w:t>
      </w:r>
      <w:r w:rsidR="00B94D1F">
        <w:t>maart</w:t>
      </w:r>
    </w:p>
    <w:p w:rsidR="00B94D1F" w:rsidRPr="00B94D1F" w:rsidRDefault="00A76C56" w:rsidP="00B94D1F">
      <w:pPr>
        <w:pStyle w:val="Lijstalinea"/>
        <w:numPr>
          <w:ilvl w:val="1"/>
          <w:numId w:val="1"/>
        </w:numPr>
      </w:pPr>
      <w:r>
        <w:t xml:space="preserve">Uitvoering peer review </w:t>
      </w:r>
      <w:r w:rsidR="0032523E">
        <w:t>bezoeken</w:t>
      </w:r>
      <w:r w:rsidR="00B94D1F">
        <w:t xml:space="preserve">: </w:t>
      </w:r>
      <w:r w:rsidR="0081307E">
        <w:t>1</w:t>
      </w:r>
      <w:r w:rsidR="0019469B">
        <w:t>1</w:t>
      </w:r>
      <w:r w:rsidR="00B94D1F" w:rsidRPr="00B94D1F">
        <w:t xml:space="preserve"> maart tot </w:t>
      </w:r>
      <w:r w:rsidR="0081307E">
        <w:t>1</w:t>
      </w:r>
      <w:r w:rsidR="0019469B">
        <w:t>7</w:t>
      </w:r>
      <w:r w:rsidR="00B94D1F" w:rsidRPr="00B94D1F">
        <w:t xml:space="preserve"> april</w:t>
      </w:r>
    </w:p>
    <w:p w:rsidR="00A76C56" w:rsidRDefault="00A76C56" w:rsidP="0019469B">
      <w:pPr>
        <w:pStyle w:val="Lijstalinea"/>
        <w:numPr>
          <w:ilvl w:val="1"/>
          <w:numId w:val="1"/>
        </w:numPr>
      </w:pPr>
      <w:r>
        <w:t>Peer review bijeenkomst (Utrecht)</w:t>
      </w:r>
      <w:r w:rsidR="00B94D1F">
        <w:t xml:space="preserve">: </w:t>
      </w:r>
      <w:r>
        <w:t>2 april</w:t>
      </w:r>
    </w:p>
    <w:p w:rsidR="001A2E36" w:rsidRDefault="001A2E36" w:rsidP="001A2E36"/>
    <w:p w:rsidR="004508A9" w:rsidRDefault="004508A9" w:rsidP="00A07485">
      <w:pPr>
        <w:pStyle w:val="Kop2"/>
      </w:pPr>
      <w:r>
        <w:t>Peer-carrousel</w:t>
      </w:r>
    </w:p>
    <w:p w:rsidR="004508A9" w:rsidRDefault="004508A9" w:rsidP="001A2E36">
      <w:r>
        <w:t xml:space="preserve">De deelnemende instellingen worden door de organisatie in een carrousel ingedeeld, waarbij rekening wordt gehouden met de reisafstand. Instelling A bezoekt instelling B, B bezoekt C enzovoort. Binnen de periode </w:t>
      </w:r>
      <w:r w:rsidR="001F56A6">
        <w:t xml:space="preserve">van 11 maart tot 17 april </w:t>
      </w:r>
      <w:r>
        <w:t>maken de instellingen zelf de afspraken voor het peer review bezoek. De bewijslast wordt ter plekke beoordeeld en voorzien van opmerkingen.</w:t>
      </w:r>
      <w:r w:rsidR="00266ABE">
        <w:t xml:space="preserve"> Het re</w:t>
      </w:r>
      <w:bookmarkStart w:id="0" w:name="_GoBack"/>
      <w:bookmarkEnd w:id="0"/>
      <w:r w:rsidR="00266ABE">
        <w:t>viewen kost een dagdeel; gereviewd worden kost eveneens een dagdeel.</w:t>
      </w:r>
    </w:p>
    <w:p w:rsidR="004508A9" w:rsidRDefault="004508A9" w:rsidP="001A2E36"/>
    <w:p w:rsidR="004508A9" w:rsidRDefault="00266ABE" w:rsidP="00A07485">
      <w:pPr>
        <w:pStyle w:val="Kop2"/>
      </w:pPr>
      <w:r>
        <w:t>Peer review bijeenkomst</w:t>
      </w:r>
    </w:p>
    <w:p w:rsidR="00266ABE" w:rsidRDefault="00266ABE" w:rsidP="001A2E36">
      <w:r>
        <w:t>De deelnemers aan deze centrale bijeenkomst komen</w:t>
      </w:r>
      <w:r w:rsidR="001F56A6">
        <w:t xml:space="preserve"> op 2 april</w:t>
      </w:r>
      <w:r>
        <w:t xml:space="preserve"> in Utrecht bij elkaar. Er zijn twee ronden: van 10:00 – 13:</w:t>
      </w:r>
      <w:r w:rsidR="00040A49">
        <w:t>0</w:t>
      </w:r>
      <w:r>
        <w:t>0 en van 14:00 – 17:</w:t>
      </w:r>
      <w:r w:rsidR="00040A49">
        <w:t>0</w:t>
      </w:r>
      <w:r>
        <w:t>0 uur</w:t>
      </w:r>
      <w:r w:rsidR="00040A49">
        <w:t>, met tussendoor een lunch.</w:t>
      </w:r>
      <w:r>
        <w:t xml:space="preserve"> In de ene ronde word je gereviewd, in de </w:t>
      </w:r>
      <w:r w:rsidR="00B94D1F">
        <w:t>andere</w:t>
      </w:r>
      <w:r>
        <w:t xml:space="preserve"> ronde voer je zelf de review uit. De indeling van de </w:t>
      </w:r>
      <w:proofErr w:type="spellStart"/>
      <w:r>
        <w:t>peers</w:t>
      </w:r>
      <w:proofErr w:type="spellEnd"/>
      <w:r>
        <w:t xml:space="preserve"> wordt </w:t>
      </w:r>
      <w:r w:rsidR="00EE54BA">
        <w:t xml:space="preserve">bij de start van </w:t>
      </w:r>
      <w:r>
        <w:t>de dag door de organisatie bekend gemaakt.</w:t>
      </w:r>
      <w:r w:rsidR="00EE54BA">
        <w:t xml:space="preserve"> Er is gedurende de dag ondersteuning aanwezig mochten er vragen zijn met betrekking tot de uitvoering van de review en de interpretatie van de bewijslast.</w:t>
      </w:r>
    </w:p>
    <w:p w:rsidR="00266ABE" w:rsidRDefault="00266ABE" w:rsidP="001A2E36"/>
    <w:p w:rsidR="00266ABE" w:rsidRDefault="00EE54BA" w:rsidP="00A07485">
      <w:pPr>
        <w:pStyle w:val="Kop2"/>
      </w:pPr>
      <w:r>
        <w:t>Expert review</w:t>
      </w:r>
    </w:p>
    <w:p w:rsidR="00EE54BA" w:rsidRDefault="00EE54BA" w:rsidP="001A2E36">
      <w:r>
        <w:t xml:space="preserve">Instellingen die geen tijd kunnen of willen vrijmaken om zelf als </w:t>
      </w:r>
      <w:proofErr w:type="spellStart"/>
      <w:r>
        <w:t>reviewer</w:t>
      </w:r>
      <w:proofErr w:type="spellEnd"/>
      <w:r>
        <w:t xml:space="preserve"> op te treden kunnen gebruikmaken van de expert review. Daarbij voert een externe expert de review op locatie uit. </w:t>
      </w:r>
      <w:r w:rsidR="0019469B">
        <w:t>Ook in die situatie is het</w:t>
      </w:r>
      <w:r>
        <w:t xml:space="preserve"> van belang dat de bewijslast state-of-</w:t>
      </w:r>
      <w:proofErr w:type="spellStart"/>
      <w:r>
        <w:t>the</w:t>
      </w:r>
      <w:proofErr w:type="spellEnd"/>
      <w:r>
        <w:t xml:space="preserve">-art </w:t>
      </w:r>
      <w:r w:rsidR="00B94D1F">
        <w:t xml:space="preserve">wordt </w:t>
      </w:r>
      <w:r>
        <w:t xml:space="preserve">voorbereid, want de </w:t>
      </w:r>
      <w:proofErr w:type="spellStart"/>
      <w:r>
        <w:t>reviewer</w:t>
      </w:r>
      <w:proofErr w:type="spellEnd"/>
      <w:r>
        <w:t xml:space="preserve"> heeft maximaal </w:t>
      </w:r>
      <w:r w:rsidR="00B94D1F">
        <w:t>3,5</w:t>
      </w:r>
      <w:r>
        <w:t xml:space="preserve"> uur beschikbaar voor het assessment. De kosten voor deze variant bedragen € 500,- ex btw.</w:t>
      </w:r>
    </w:p>
    <w:p w:rsidR="00EE54BA" w:rsidRDefault="00EE54BA" w:rsidP="001A2E36"/>
    <w:p w:rsidR="007118DC" w:rsidRDefault="007118DC" w:rsidP="007118DC">
      <w:pPr>
        <w:pStyle w:val="Kop2"/>
      </w:pPr>
      <w:r>
        <w:t>Voorbereiden bewijslast</w:t>
      </w:r>
    </w:p>
    <w:p w:rsidR="007118DC" w:rsidRDefault="007118DC" w:rsidP="007118DC">
      <w:r>
        <w:t xml:space="preserve">Nadat de te reviewen statements door de organisatie zijn gecommuniceerd hebben de instellingen de gelegenheid om de benodigde bewijslast in de eigen organisatie </w:t>
      </w:r>
      <w:proofErr w:type="spellStart"/>
      <w:r>
        <w:t>demonstratieklaar</w:t>
      </w:r>
      <w:proofErr w:type="spellEnd"/>
      <w:r>
        <w:t xml:space="preserve"> te verzamelen. Om een soepele review te garanderen is het belangrijk dat de bewijslast </w:t>
      </w:r>
      <w:r w:rsidR="004B0E3E">
        <w:t xml:space="preserve">voor elk van de 10 statements </w:t>
      </w:r>
      <w:r>
        <w:t xml:space="preserve">‘op een presenteerblaadje’ aanwezig is. </w:t>
      </w:r>
    </w:p>
    <w:p w:rsidR="0019469B" w:rsidRDefault="0019469B" w:rsidP="007118DC"/>
    <w:p w:rsidR="0019469B" w:rsidRDefault="003031B3" w:rsidP="0019469B">
      <w:pPr>
        <w:pStyle w:val="Kop2"/>
      </w:pPr>
      <w:r>
        <w:t>Keuze scenario</w:t>
      </w:r>
    </w:p>
    <w:p w:rsidR="0019469B" w:rsidRDefault="003031B3" w:rsidP="007118DC">
      <w:r>
        <w:t>Doorgeven</w:t>
      </w:r>
      <w:r w:rsidR="0019469B" w:rsidRPr="0019469B">
        <w:t xml:space="preserve"> het peer review scenario van jouw keuze kan tot 6 maart en gaat via </w:t>
      </w:r>
      <w:hyperlink r:id="rId7" w:history="1">
        <w:r w:rsidRPr="008A2B09">
          <w:rPr>
            <w:rStyle w:val="Hyperlink"/>
          </w:rPr>
          <w:t>www.sambo-ict.nl/keuze-pr2020</w:t>
        </w:r>
      </w:hyperlink>
      <w:r w:rsidR="0019469B">
        <w:t>.</w:t>
      </w:r>
    </w:p>
    <w:p w:rsidR="0019469B" w:rsidRDefault="0019469B" w:rsidP="007118DC"/>
    <w:p w:rsidR="0023185B" w:rsidRPr="0023185B" w:rsidRDefault="0019469B">
      <w:pPr>
        <w:rPr>
          <w:b/>
          <w:bCs/>
          <w:sz w:val="22"/>
          <w:szCs w:val="22"/>
        </w:rPr>
      </w:pPr>
      <w:r w:rsidRPr="0019469B">
        <w:rPr>
          <w:b/>
          <w:bCs/>
          <w:sz w:val="20"/>
          <w:szCs w:val="20"/>
        </w:rPr>
        <w:t>17 februari 2020, Regiegroep IBP in het mbo</w:t>
      </w:r>
    </w:p>
    <w:sectPr w:rsidR="0023185B" w:rsidRPr="0023185B" w:rsidSect="0022501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C33CB"/>
    <w:multiLevelType w:val="hybridMultilevel"/>
    <w:tmpl w:val="523E97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E36"/>
    <w:rsid w:val="00040A49"/>
    <w:rsid w:val="000B4700"/>
    <w:rsid w:val="000D7A8D"/>
    <w:rsid w:val="000E0148"/>
    <w:rsid w:val="00147A56"/>
    <w:rsid w:val="0019469B"/>
    <w:rsid w:val="001A2E36"/>
    <w:rsid w:val="001F56A6"/>
    <w:rsid w:val="00203108"/>
    <w:rsid w:val="0022501E"/>
    <w:rsid w:val="0023185B"/>
    <w:rsid w:val="00266ABE"/>
    <w:rsid w:val="003031B3"/>
    <w:rsid w:val="00304E6A"/>
    <w:rsid w:val="0032523E"/>
    <w:rsid w:val="003519A2"/>
    <w:rsid w:val="004508A9"/>
    <w:rsid w:val="004B0E3E"/>
    <w:rsid w:val="007118DC"/>
    <w:rsid w:val="007348F8"/>
    <w:rsid w:val="0081307E"/>
    <w:rsid w:val="00A07485"/>
    <w:rsid w:val="00A76C56"/>
    <w:rsid w:val="00AB67CC"/>
    <w:rsid w:val="00B94D1F"/>
    <w:rsid w:val="00C26381"/>
    <w:rsid w:val="00EE54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49D2"/>
  <w15:chartTrackingRefBased/>
  <w15:docId w15:val="{40E980E4-1834-F140-8240-B52CF9E0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0748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0748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A2E36"/>
    <w:pPr>
      <w:ind w:left="720"/>
      <w:contextualSpacing/>
    </w:pPr>
  </w:style>
  <w:style w:type="paragraph" w:styleId="Titel">
    <w:name w:val="Title"/>
    <w:basedOn w:val="Standaard"/>
    <w:next w:val="Standaard"/>
    <w:link w:val="TitelChar"/>
    <w:uiPriority w:val="10"/>
    <w:qFormat/>
    <w:rsid w:val="00EE54BA"/>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E54BA"/>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A07485"/>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A07485"/>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Standaardalinea-lettertype"/>
    <w:rsid w:val="00040A49"/>
  </w:style>
  <w:style w:type="character" w:styleId="Hyperlink">
    <w:name w:val="Hyperlink"/>
    <w:basedOn w:val="Standaardalinea-lettertype"/>
    <w:uiPriority w:val="99"/>
    <w:unhideWhenUsed/>
    <w:rsid w:val="0081307E"/>
    <w:rPr>
      <w:color w:val="0563C1" w:themeColor="hyperlink"/>
      <w:u w:val="single"/>
    </w:rPr>
  </w:style>
  <w:style w:type="character" w:styleId="Onopgelostemelding">
    <w:name w:val="Unresolved Mention"/>
    <w:basedOn w:val="Standaardalinea-lettertype"/>
    <w:uiPriority w:val="99"/>
    <w:semiHidden/>
    <w:unhideWhenUsed/>
    <w:rsid w:val="0081307E"/>
    <w:rPr>
      <w:color w:val="605E5C"/>
      <w:shd w:val="clear" w:color="auto" w:fill="E1DFDD"/>
    </w:rPr>
  </w:style>
  <w:style w:type="paragraph" w:styleId="Ballontekst">
    <w:name w:val="Balloon Text"/>
    <w:basedOn w:val="Standaard"/>
    <w:link w:val="BallontekstChar"/>
    <w:uiPriority w:val="99"/>
    <w:semiHidden/>
    <w:unhideWhenUsed/>
    <w:rsid w:val="000E0148"/>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0E014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882059">
      <w:bodyDiv w:val="1"/>
      <w:marLeft w:val="0"/>
      <w:marRight w:val="0"/>
      <w:marTop w:val="0"/>
      <w:marBottom w:val="0"/>
      <w:divBdr>
        <w:top w:val="none" w:sz="0" w:space="0" w:color="auto"/>
        <w:left w:val="none" w:sz="0" w:space="0" w:color="auto"/>
        <w:bottom w:val="none" w:sz="0" w:space="0" w:color="auto"/>
        <w:right w:val="none" w:sz="0" w:space="0" w:color="auto"/>
      </w:divBdr>
    </w:div>
    <w:div w:id="763190809">
      <w:bodyDiv w:val="1"/>
      <w:marLeft w:val="0"/>
      <w:marRight w:val="0"/>
      <w:marTop w:val="0"/>
      <w:marBottom w:val="0"/>
      <w:divBdr>
        <w:top w:val="none" w:sz="0" w:space="0" w:color="auto"/>
        <w:left w:val="none" w:sz="0" w:space="0" w:color="auto"/>
        <w:bottom w:val="none" w:sz="0" w:space="0" w:color="auto"/>
        <w:right w:val="none" w:sz="0" w:space="0" w:color="auto"/>
      </w:divBdr>
    </w:div>
    <w:div w:id="823818910">
      <w:bodyDiv w:val="1"/>
      <w:marLeft w:val="0"/>
      <w:marRight w:val="0"/>
      <w:marTop w:val="0"/>
      <w:marBottom w:val="0"/>
      <w:divBdr>
        <w:top w:val="none" w:sz="0" w:space="0" w:color="auto"/>
        <w:left w:val="none" w:sz="0" w:space="0" w:color="auto"/>
        <w:bottom w:val="none" w:sz="0" w:space="0" w:color="auto"/>
        <w:right w:val="none" w:sz="0" w:space="0" w:color="auto"/>
      </w:divBdr>
    </w:div>
    <w:div w:id="892473062">
      <w:bodyDiv w:val="1"/>
      <w:marLeft w:val="0"/>
      <w:marRight w:val="0"/>
      <w:marTop w:val="0"/>
      <w:marBottom w:val="0"/>
      <w:divBdr>
        <w:top w:val="none" w:sz="0" w:space="0" w:color="auto"/>
        <w:left w:val="none" w:sz="0" w:space="0" w:color="auto"/>
        <w:bottom w:val="none" w:sz="0" w:space="0" w:color="auto"/>
        <w:right w:val="none" w:sz="0" w:space="0" w:color="auto"/>
      </w:divBdr>
    </w:div>
    <w:div w:id="931864035">
      <w:bodyDiv w:val="1"/>
      <w:marLeft w:val="0"/>
      <w:marRight w:val="0"/>
      <w:marTop w:val="0"/>
      <w:marBottom w:val="0"/>
      <w:divBdr>
        <w:top w:val="none" w:sz="0" w:space="0" w:color="auto"/>
        <w:left w:val="none" w:sz="0" w:space="0" w:color="auto"/>
        <w:bottom w:val="none" w:sz="0" w:space="0" w:color="auto"/>
        <w:right w:val="none" w:sz="0" w:space="0" w:color="auto"/>
      </w:divBdr>
    </w:div>
    <w:div w:id="945115020">
      <w:bodyDiv w:val="1"/>
      <w:marLeft w:val="0"/>
      <w:marRight w:val="0"/>
      <w:marTop w:val="0"/>
      <w:marBottom w:val="0"/>
      <w:divBdr>
        <w:top w:val="none" w:sz="0" w:space="0" w:color="auto"/>
        <w:left w:val="none" w:sz="0" w:space="0" w:color="auto"/>
        <w:bottom w:val="none" w:sz="0" w:space="0" w:color="auto"/>
        <w:right w:val="none" w:sz="0" w:space="0" w:color="auto"/>
      </w:divBdr>
    </w:div>
    <w:div w:id="958341683">
      <w:bodyDiv w:val="1"/>
      <w:marLeft w:val="0"/>
      <w:marRight w:val="0"/>
      <w:marTop w:val="0"/>
      <w:marBottom w:val="0"/>
      <w:divBdr>
        <w:top w:val="none" w:sz="0" w:space="0" w:color="auto"/>
        <w:left w:val="none" w:sz="0" w:space="0" w:color="auto"/>
        <w:bottom w:val="none" w:sz="0" w:space="0" w:color="auto"/>
        <w:right w:val="none" w:sz="0" w:space="0" w:color="auto"/>
      </w:divBdr>
    </w:div>
    <w:div w:id="1076321392">
      <w:bodyDiv w:val="1"/>
      <w:marLeft w:val="0"/>
      <w:marRight w:val="0"/>
      <w:marTop w:val="0"/>
      <w:marBottom w:val="0"/>
      <w:divBdr>
        <w:top w:val="none" w:sz="0" w:space="0" w:color="auto"/>
        <w:left w:val="none" w:sz="0" w:space="0" w:color="auto"/>
        <w:bottom w:val="none" w:sz="0" w:space="0" w:color="auto"/>
        <w:right w:val="none" w:sz="0" w:space="0" w:color="auto"/>
      </w:divBdr>
    </w:div>
    <w:div w:id="1139805334">
      <w:bodyDiv w:val="1"/>
      <w:marLeft w:val="0"/>
      <w:marRight w:val="0"/>
      <w:marTop w:val="0"/>
      <w:marBottom w:val="0"/>
      <w:divBdr>
        <w:top w:val="none" w:sz="0" w:space="0" w:color="auto"/>
        <w:left w:val="none" w:sz="0" w:space="0" w:color="auto"/>
        <w:bottom w:val="none" w:sz="0" w:space="0" w:color="auto"/>
        <w:right w:val="none" w:sz="0" w:space="0" w:color="auto"/>
      </w:divBdr>
    </w:div>
    <w:div w:id="1327783612">
      <w:bodyDiv w:val="1"/>
      <w:marLeft w:val="0"/>
      <w:marRight w:val="0"/>
      <w:marTop w:val="0"/>
      <w:marBottom w:val="0"/>
      <w:divBdr>
        <w:top w:val="none" w:sz="0" w:space="0" w:color="auto"/>
        <w:left w:val="none" w:sz="0" w:space="0" w:color="auto"/>
        <w:bottom w:val="none" w:sz="0" w:space="0" w:color="auto"/>
        <w:right w:val="none" w:sz="0" w:space="0" w:color="auto"/>
      </w:divBdr>
    </w:div>
    <w:div w:id="1352142874">
      <w:bodyDiv w:val="1"/>
      <w:marLeft w:val="0"/>
      <w:marRight w:val="0"/>
      <w:marTop w:val="0"/>
      <w:marBottom w:val="0"/>
      <w:divBdr>
        <w:top w:val="none" w:sz="0" w:space="0" w:color="auto"/>
        <w:left w:val="none" w:sz="0" w:space="0" w:color="auto"/>
        <w:bottom w:val="none" w:sz="0" w:space="0" w:color="auto"/>
        <w:right w:val="none" w:sz="0" w:space="0" w:color="auto"/>
      </w:divBdr>
    </w:div>
    <w:div w:id="1493983149">
      <w:bodyDiv w:val="1"/>
      <w:marLeft w:val="0"/>
      <w:marRight w:val="0"/>
      <w:marTop w:val="0"/>
      <w:marBottom w:val="0"/>
      <w:divBdr>
        <w:top w:val="none" w:sz="0" w:space="0" w:color="auto"/>
        <w:left w:val="none" w:sz="0" w:space="0" w:color="auto"/>
        <w:bottom w:val="none" w:sz="0" w:space="0" w:color="auto"/>
        <w:right w:val="none" w:sz="0" w:space="0" w:color="auto"/>
      </w:divBdr>
    </w:div>
    <w:div w:id="1742168211">
      <w:bodyDiv w:val="1"/>
      <w:marLeft w:val="0"/>
      <w:marRight w:val="0"/>
      <w:marTop w:val="0"/>
      <w:marBottom w:val="0"/>
      <w:divBdr>
        <w:top w:val="none" w:sz="0" w:space="0" w:color="auto"/>
        <w:left w:val="none" w:sz="0" w:space="0" w:color="auto"/>
        <w:bottom w:val="none" w:sz="0" w:space="0" w:color="auto"/>
        <w:right w:val="none" w:sz="0" w:space="0" w:color="auto"/>
      </w:divBdr>
    </w:div>
    <w:div w:id="1870295790">
      <w:bodyDiv w:val="1"/>
      <w:marLeft w:val="0"/>
      <w:marRight w:val="0"/>
      <w:marTop w:val="0"/>
      <w:marBottom w:val="0"/>
      <w:divBdr>
        <w:top w:val="none" w:sz="0" w:space="0" w:color="auto"/>
        <w:left w:val="none" w:sz="0" w:space="0" w:color="auto"/>
        <w:bottom w:val="none" w:sz="0" w:space="0" w:color="auto"/>
        <w:right w:val="none" w:sz="0" w:space="0" w:color="auto"/>
      </w:divBdr>
    </w:div>
    <w:div w:id="1936935963">
      <w:bodyDiv w:val="1"/>
      <w:marLeft w:val="0"/>
      <w:marRight w:val="0"/>
      <w:marTop w:val="0"/>
      <w:marBottom w:val="0"/>
      <w:divBdr>
        <w:top w:val="none" w:sz="0" w:space="0" w:color="auto"/>
        <w:left w:val="none" w:sz="0" w:space="0" w:color="auto"/>
        <w:bottom w:val="none" w:sz="0" w:space="0" w:color="auto"/>
        <w:right w:val="none" w:sz="0" w:space="0" w:color="auto"/>
      </w:divBdr>
    </w:div>
    <w:div w:id="1942568524">
      <w:bodyDiv w:val="1"/>
      <w:marLeft w:val="0"/>
      <w:marRight w:val="0"/>
      <w:marTop w:val="0"/>
      <w:marBottom w:val="0"/>
      <w:divBdr>
        <w:top w:val="none" w:sz="0" w:space="0" w:color="auto"/>
        <w:left w:val="none" w:sz="0" w:space="0" w:color="auto"/>
        <w:bottom w:val="none" w:sz="0" w:space="0" w:color="auto"/>
        <w:right w:val="none" w:sz="0" w:space="0" w:color="auto"/>
      </w:divBdr>
    </w:div>
    <w:div w:id="1975518699">
      <w:bodyDiv w:val="1"/>
      <w:marLeft w:val="0"/>
      <w:marRight w:val="0"/>
      <w:marTop w:val="0"/>
      <w:marBottom w:val="0"/>
      <w:divBdr>
        <w:top w:val="none" w:sz="0" w:space="0" w:color="auto"/>
        <w:left w:val="none" w:sz="0" w:space="0" w:color="auto"/>
        <w:bottom w:val="none" w:sz="0" w:space="0" w:color="auto"/>
        <w:right w:val="none" w:sz="0" w:space="0" w:color="auto"/>
      </w:divBdr>
    </w:div>
    <w:div w:id="197690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mbo-ict.nl/keuze-pr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bo-ict.nl/ibpdoc11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825</Words>
  <Characters>4539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Bijleveld</dc:creator>
  <cp:keywords/>
  <dc:description/>
  <cp:lastModifiedBy>Martijn Bijleveld</cp:lastModifiedBy>
  <cp:revision>5</cp:revision>
  <dcterms:created xsi:type="dcterms:W3CDTF">2020-02-17T11:55:00Z</dcterms:created>
  <dcterms:modified xsi:type="dcterms:W3CDTF">2020-02-19T14:19:00Z</dcterms:modified>
</cp:coreProperties>
</file>