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52"/>
          <w:szCs w:val="52"/>
        </w:rPr>
      </w:pPr>
      <w:r w:rsidDel="00000000" w:rsidR="00000000" w:rsidRPr="00000000">
        <w:rPr>
          <w:rtl w:val="0"/>
        </w:rPr>
      </w:r>
    </w:p>
    <w:p w:rsidR="00000000" w:rsidDel="00000000" w:rsidP="00000000" w:rsidRDefault="00000000" w:rsidRPr="00000000" w14:paraId="00000001">
      <w:pPr>
        <w:rPr>
          <w:b w:val="1"/>
          <w:sz w:val="52"/>
          <w:szCs w:val="52"/>
        </w:rPr>
      </w:pPr>
      <w:r w:rsidDel="00000000" w:rsidR="00000000" w:rsidRPr="00000000">
        <w:rPr>
          <w:rtl w:val="0"/>
        </w:rPr>
      </w:r>
    </w:p>
    <w:p w:rsidR="00000000" w:rsidDel="00000000" w:rsidP="00000000" w:rsidRDefault="00000000" w:rsidRPr="00000000" w14:paraId="00000002">
      <w:pPr>
        <w:rPr>
          <w:b w:val="1"/>
          <w:sz w:val="52"/>
          <w:szCs w:val="52"/>
        </w:rPr>
      </w:pPr>
      <w:r w:rsidDel="00000000" w:rsidR="00000000" w:rsidRPr="00000000">
        <w:rPr>
          <w:rtl w:val="0"/>
        </w:rPr>
      </w:r>
    </w:p>
    <w:p w:rsidR="00000000" w:rsidDel="00000000" w:rsidP="00000000" w:rsidRDefault="00000000" w:rsidRPr="00000000" w14:paraId="00000003">
      <w:pPr>
        <w:rPr>
          <w:b w:val="1"/>
          <w:sz w:val="52"/>
          <w:szCs w:val="52"/>
        </w:rPr>
      </w:pPr>
      <w:r w:rsidDel="00000000" w:rsidR="00000000" w:rsidRPr="00000000">
        <w:rPr>
          <w:rtl w:val="0"/>
        </w:rPr>
      </w:r>
    </w:p>
    <w:p w:rsidR="00000000" w:rsidDel="00000000" w:rsidP="00000000" w:rsidRDefault="00000000" w:rsidRPr="00000000" w14:paraId="00000004">
      <w:pPr>
        <w:rPr>
          <w:b w:val="1"/>
          <w:sz w:val="52"/>
          <w:szCs w:val="52"/>
        </w:rPr>
      </w:pPr>
      <w:r w:rsidDel="00000000" w:rsidR="00000000" w:rsidRPr="00000000">
        <w:rPr>
          <w:b w:val="1"/>
          <w:sz w:val="52"/>
          <w:szCs w:val="52"/>
          <w:rtl w:val="0"/>
        </w:rPr>
        <w:t xml:space="preserve">Marktconsultatie</w:t>
      </w:r>
    </w:p>
    <w:p w:rsidR="00000000" w:rsidDel="00000000" w:rsidP="00000000" w:rsidRDefault="00000000" w:rsidRPr="00000000" w14:paraId="00000005">
      <w:pPr>
        <w:rPr>
          <w:b w:val="1"/>
          <w:sz w:val="48"/>
          <w:szCs w:val="48"/>
        </w:rPr>
      </w:pPr>
      <w:r w:rsidDel="00000000" w:rsidR="00000000" w:rsidRPr="00000000">
        <w:rPr>
          <w:b w:val="1"/>
          <w:sz w:val="48"/>
          <w:szCs w:val="48"/>
          <w:rtl w:val="0"/>
        </w:rPr>
        <w:t xml:space="preserve">Toekomst van de </w:t>
      </w:r>
      <w:r w:rsidDel="00000000" w:rsidR="00000000" w:rsidRPr="00000000">
        <w:rPr>
          <w:b w:val="1"/>
          <w:sz w:val="48"/>
          <w:szCs w:val="48"/>
          <w:rtl w:val="0"/>
        </w:rPr>
        <w:t xml:space="preserve">leermiddelenketen</w:t>
      </w:r>
      <w:r w:rsidDel="00000000" w:rsidR="00000000" w:rsidRPr="00000000">
        <w:rPr>
          <w:rtl w:val="0"/>
        </w:rPr>
      </w:r>
    </w:p>
    <w:p w:rsidR="00000000" w:rsidDel="00000000" w:rsidP="00000000" w:rsidRDefault="00000000" w:rsidRPr="00000000" w14:paraId="00000006">
      <w:pPr>
        <w:pStyle w:val="Heading1"/>
        <w:rPr/>
      </w:pPr>
      <w:bookmarkStart w:colFirst="0" w:colLast="0" w:name="_s99at5b6fits" w:id="0"/>
      <w:bookmarkEnd w:id="0"/>
      <w:r w:rsidDel="00000000" w:rsidR="00000000" w:rsidRPr="00000000">
        <w:rPr>
          <w:rtl w:val="0"/>
        </w:rPr>
        <w:t xml:space="preserve">T</w:t>
      </w:r>
      <w:r w:rsidDel="00000000" w:rsidR="00000000" w:rsidRPr="00000000">
        <w:rPr>
          <w:rtl w:val="0"/>
        </w:rPr>
        <w:t xml:space="preserve">oelichting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tabs>
          <w:tab w:val="left" w:pos="5440"/>
        </w:tabs>
        <w:rPr/>
      </w:pPr>
      <w:r w:rsidDel="00000000" w:rsidR="00000000" w:rsidRPr="00000000">
        <w:rPr>
          <w:rtl w:val="0"/>
        </w:rPr>
        <w:tab/>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15 februari 2019</w:t>
      </w:r>
    </w:p>
    <w:p w:rsidR="00000000" w:rsidDel="00000000" w:rsidP="00000000" w:rsidRDefault="00000000" w:rsidRPr="00000000" w14:paraId="00000030">
      <w:pPr>
        <w:rPr>
          <w:i w:val="1"/>
          <w:color w:val="636262"/>
          <w:sz w:val="22"/>
          <w:szCs w:val="22"/>
        </w:rPr>
      </w:pPr>
      <w:r w:rsidDel="00000000" w:rsidR="00000000" w:rsidRPr="00000000">
        <w:rPr>
          <w:rtl w:val="0"/>
        </w:rPr>
        <w:t xml:space="preserve">Versie 1.0</w:t>
      </w: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6c1869"/>
          <w:sz w:val="26"/>
          <w:szCs w:val="26"/>
          <w:u w:val="none"/>
          <w:shd w:fill="auto" w:val="clear"/>
          <w:vertAlign w:val="baseline"/>
        </w:rPr>
      </w:pPr>
      <w:r w:rsidDel="00000000" w:rsidR="00000000" w:rsidRPr="00000000">
        <w:rPr>
          <w:rFonts w:ascii="Verdana" w:cs="Verdana" w:eastAsia="Verdana" w:hAnsi="Verdana"/>
          <w:b w:val="1"/>
          <w:i w:val="0"/>
          <w:smallCaps w:val="0"/>
          <w:strike w:val="0"/>
          <w:color w:val="6c1869"/>
          <w:sz w:val="26"/>
          <w:szCs w:val="26"/>
          <w:u w:val="none"/>
          <w:shd w:fill="auto" w:val="clear"/>
          <w:vertAlign w:val="baseline"/>
          <w:rtl w:val="0"/>
        </w:rPr>
        <w:t xml:space="preserve">Inhoudsopgave</w:t>
      </w:r>
    </w:p>
    <w:p w:rsidR="00000000" w:rsidDel="00000000" w:rsidP="00000000" w:rsidRDefault="00000000" w:rsidRPr="00000000" w14:paraId="0000003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pos="8310"/>
            </w:tabs>
            <w:spacing w:before="80" w:line="240" w:lineRule="auto"/>
            <w:ind w:left="0" w:firstLine="0"/>
            <w:rPr/>
          </w:pPr>
          <w:r w:rsidDel="00000000" w:rsidR="00000000" w:rsidRPr="00000000">
            <w:fldChar w:fldCharType="begin"/>
            <w:instrText xml:space="preserve"> TOC \h \u \z </w:instrText>
            <w:fldChar w:fldCharType="separate"/>
          </w:r>
          <w:hyperlink w:anchor="_s99at5b6fits">
            <w:r w:rsidDel="00000000" w:rsidR="00000000" w:rsidRPr="00000000">
              <w:rPr>
                <w:b w:val="1"/>
                <w:rtl w:val="0"/>
              </w:rPr>
              <w:t xml:space="preserve">Toelichting</w:t>
            </w:r>
          </w:hyperlink>
          <w:r w:rsidDel="00000000" w:rsidR="00000000" w:rsidRPr="00000000">
            <w:rPr>
              <w:b w:val="1"/>
              <w:rtl w:val="0"/>
            </w:rPr>
            <w:tab/>
          </w:r>
          <w:r w:rsidDel="00000000" w:rsidR="00000000" w:rsidRPr="00000000">
            <w:fldChar w:fldCharType="begin"/>
            <w:instrText xml:space="preserve"> PAGEREF _s99at5b6fits \h </w:instrText>
            <w:fldChar w:fldCharType="separate"/>
          </w:r>
          <w:r w:rsidDel="00000000" w:rsidR="00000000" w:rsidRPr="00000000">
            <w:rPr>
              <w:b w:val="1"/>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8310"/>
            </w:tabs>
            <w:spacing w:before="200" w:line="240" w:lineRule="auto"/>
            <w:ind w:left="0" w:firstLine="0"/>
            <w:rPr/>
          </w:pPr>
          <w:hyperlink w:anchor="_gjdgxs">
            <w:r w:rsidDel="00000000" w:rsidR="00000000" w:rsidRPr="00000000">
              <w:rPr>
                <w:b w:val="1"/>
                <w:rtl w:val="0"/>
              </w:rPr>
              <w:t xml:space="preserve">Inleiding</w:t>
            </w:r>
          </w:hyperlink>
          <w:r w:rsidDel="00000000" w:rsidR="00000000" w:rsidRPr="00000000">
            <w:rPr>
              <w:b w:val="1"/>
              <w:rtl w:val="0"/>
            </w:rPr>
            <w:tab/>
          </w:r>
          <w:r w:rsidDel="00000000" w:rsidR="00000000" w:rsidRPr="00000000">
            <w:fldChar w:fldCharType="begin"/>
            <w:instrText xml:space="preserve"> PAGEREF _gjdgxs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8310"/>
            </w:tabs>
            <w:spacing w:before="60" w:line="240" w:lineRule="auto"/>
            <w:ind w:left="360" w:firstLine="0"/>
            <w:rPr/>
          </w:pPr>
          <w:hyperlink w:anchor="_30j0zll">
            <w:r w:rsidDel="00000000" w:rsidR="00000000" w:rsidRPr="00000000">
              <w:rPr>
                <w:rtl w:val="0"/>
              </w:rPr>
              <w:t xml:space="preserve">Visiedocument - Programma van Eisen</w:t>
            </w:r>
          </w:hyperlink>
          <w:r w:rsidDel="00000000" w:rsidR="00000000" w:rsidRPr="00000000">
            <w:rPr>
              <w:rtl w:val="0"/>
            </w:rPr>
            <w:tab/>
          </w:r>
          <w:r w:rsidDel="00000000" w:rsidR="00000000" w:rsidRPr="00000000">
            <w:fldChar w:fldCharType="begin"/>
            <w:instrText xml:space="preserve"> PAGEREF _30j0zll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8310"/>
            </w:tabs>
            <w:spacing w:before="60" w:line="240" w:lineRule="auto"/>
            <w:ind w:left="360" w:firstLine="0"/>
            <w:rPr/>
          </w:pPr>
          <w:hyperlink w:anchor="_1fob9te">
            <w:r w:rsidDel="00000000" w:rsidR="00000000" w:rsidRPr="00000000">
              <w:rPr>
                <w:rtl w:val="0"/>
              </w:rPr>
              <w:t xml:space="preserve">Doel van de marktconsultatie, geen inkooptraject.</w:t>
            </w:r>
          </w:hyperlink>
          <w:r w:rsidDel="00000000" w:rsidR="00000000" w:rsidRPr="00000000">
            <w:rPr>
              <w:rtl w:val="0"/>
            </w:rPr>
            <w:tab/>
          </w:r>
          <w:r w:rsidDel="00000000" w:rsidR="00000000" w:rsidRPr="00000000">
            <w:fldChar w:fldCharType="begin"/>
            <w:instrText xml:space="preserve"> PAGEREF _1fob9te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8310"/>
            </w:tabs>
            <w:spacing w:before="200" w:line="240" w:lineRule="auto"/>
            <w:ind w:left="0" w:firstLine="0"/>
            <w:rPr/>
          </w:pPr>
          <w:hyperlink w:anchor="_3znysh7">
            <w:r w:rsidDel="00000000" w:rsidR="00000000" w:rsidRPr="00000000">
              <w:rPr>
                <w:b w:val="1"/>
                <w:rtl w:val="0"/>
              </w:rPr>
              <w:t xml:space="preserve">Marktconsultatie</w:t>
            </w:r>
          </w:hyperlink>
          <w:r w:rsidDel="00000000" w:rsidR="00000000" w:rsidRPr="00000000">
            <w:rPr>
              <w:b w:val="1"/>
              <w:rtl w:val="0"/>
            </w:rPr>
            <w:tab/>
          </w:r>
          <w:r w:rsidDel="00000000" w:rsidR="00000000" w:rsidRPr="00000000">
            <w:fldChar w:fldCharType="begin"/>
            <w:instrText xml:space="preserve"> PAGEREF _3znysh7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8310"/>
            </w:tabs>
            <w:spacing w:before="60" w:line="240" w:lineRule="auto"/>
            <w:ind w:left="360" w:firstLine="0"/>
            <w:rPr/>
          </w:pPr>
          <w:hyperlink w:anchor="_2et92p0">
            <w:r w:rsidDel="00000000" w:rsidR="00000000" w:rsidRPr="00000000">
              <w:rPr>
                <w:rtl w:val="0"/>
              </w:rPr>
              <w:t xml:space="preserve">Doelgroep</w:t>
            </w:r>
          </w:hyperlink>
          <w:r w:rsidDel="00000000" w:rsidR="00000000" w:rsidRPr="00000000">
            <w:rPr>
              <w:rtl w:val="0"/>
            </w:rPr>
            <w:tab/>
          </w:r>
          <w:r w:rsidDel="00000000" w:rsidR="00000000" w:rsidRPr="00000000">
            <w:fldChar w:fldCharType="begin"/>
            <w:instrText xml:space="preserve"> PAGEREF _2et92p0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8310"/>
            </w:tabs>
            <w:spacing w:before="60" w:line="240" w:lineRule="auto"/>
            <w:ind w:left="360" w:firstLine="0"/>
            <w:rPr/>
          </w:pPr>
          <w:hyperlink w:anchor="_tyjcwt">
            <w:r w:rsidDel="00000000" w:rsidR="00000000" w:rsidRPr="00000000">
              <w:rPr>
                <w:rtl w:val="0"/>
              </w:rPr>
              <w:t xml:space="preserve">Te beantwoorden vragen</w:t>
            </w:r>
          </w:hyperlink>
          <w:r w:rsidDel="00000000" w:rsidR="00000000" w:rsidRPr="00000000">
            <w:rPr>
              <w:rtl w:val="0"/>
            </w:rPr>
            <w:tab/>
          </w:r>
          <w:r w:rsidDel="00000000" w:rsidR="00000000" w:rsidRPr="00000000">
            <w:fldChar w:fldCharType="begin"/>
            <w:instrText xml:space="preserve"> PAGEREF _tyjcwt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8310"/>
            </w:tabs>
            <w:spacing w:after="80" w:before="60" w:line="240" w:lineRule="auto"/>
            <w:ind w:left="360" w:firstLine="0"/>
            <w:rPr/>
          </w:pPr>
          <w:hyperlink w:anchor="_3dy6vkm">
            <w:r w:rsidDel="00000000" w:rsidR="00000000" w:rsidRPr="00000000">
              <w:rPr>
                <w:rtl w:val="0"/>
              </w:rPr>
              <w:t xml:space="preserve">Procedure en planning</w:t>
            </w:r>
          </w:hyperlink>
          <w:r w:rsidDel="00000000" w:rsidR="00000000" w:rsidRPr="00000000">
            <w:rPr>
              <w:rtl w:val="0"/>
            </w:rPr>
            <w:tab/>
          </w:r>
          <w:r w:rsidDel="00000000" w:rsidR="00000000" w:rsidRPr="00000000">
            <w:fldChar w:fldCharType="begin"/>
            <w:instrText xml:space="preserve"> PAGEREF _3dy6vkm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color w:val="6c186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keepLines w:val="1"/>
        <w:numPr>
          <w:ilvl w:val="0"/>
          <w:numId w:val="3"/>
        </w:numPr>
        <w:spacing w:after="0" w:before="480" w:lineRule="auto"/>
        <w:ind w:left="360" w:hanging="360"/>
        <w:rPr/>
      </w:pPr>
      <w:bookmarkStart w:colFirst="0" w:colLast="0" w:name="_gjdgxs" w:id="1"/>
      <w:bookmarkEnd w:id="1"/>
      <w:r w:rsidDel="00000000" w:rsidR="00000000" w:rsidRPr="00000000">
        <w:rPr>
          <w:rtl w:val="0"/>
        </w:rPr>
        <w:t xml:space="preserve">Inleiding</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Een zestal ROC’s (Deltion College,mboRijnland, ROC van Amsterdam/Flevoland, Friesland College, Rijn IJssel, Clusius College) heeft het initiatief genomen tot een </w:t>
      </w:r>
      <w:r w:rsidDel="00000000" w:rsidR="00000000" w:rsidRPr="00000000">
        <w:rPr>
          <w:i w:val="1"/>
          <w:rtl w:val="0"/>
        </w:rPr>
        <w:t xml:space="preserve">informatieve</w:t>
      </w:r>
      <w:r w:rsidDel="00000000" w:rsidR="00000000" w:rsidRPr="00000000">
        <w:rPr>
          <w:rtl w:val="0"/>
        </w:rPr>
        <w:t xml:space="preserve"> marktconsultatie met betrekking tot de toekomst van de leermiddelenketen.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De digitale leermiddelenketen is in beweging. In de afgelopen jaren zijn er belangrijke stappen gezet in het standaardiseren van de bestel en leveringsprocessen. Het gebruik van de ECK standaard ‘Distributie &amp; Toegang’ en de Entree federatie heeft voor scholen veel opgeleverd. Met de komst van de nummervoorziening en de onafhankelijke catalogus ontstaan er op korte termijn nieuwe mogelijkheden die de scholen in het mbo willen gaan benutten.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Een belangrijk uitgangspunt voor de inrichting van de leermiddelenketen is het realiseren van meer keuzevrijheid voor de (mbo-)student. De achtergrond daarvan is de wens en noodzaak om te voldoen aan de uitgangspunten die in het juridisch kader zijn gesteld (zie Juridisch kader onderwijsbenodigdheden mbo, Kennisnet en saMBO-ICT, oktober 2018). </w:t>
      </w:r>
      <w:r w:rsidDel="00000000" w:rsidR="00000000" w:rsidRPr="00000000">
        <w:rPr>
          <w:rtl w:val="0"/>
        </w:rPr>
        <w:t xml:space="preserve">We kunnen deze verandering als scholen niet zelfstandig realiseren maar hebben hierbij andere ketenpartners nodig. Vandaar dat we ketenpartners hierbij graag betrekken.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Deze marktconsultatie is bedoeld voor alle partijen die een rol in de keten kunnen of willen spelen. In elk geval zijn partijen uitgenodigd om schriftelijk te reageren. Partijen kunnen, als de schriftelijke reactie hier aanleiding voor geeft, ook worden uitgenodigd voor een toelichtende presentatie en gesprek.</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Deze marktconsultatie wordt namens de genoemde instellingen gefaciliteerd door saMBO-ICT.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numPr>
          <w:ilvl w:val="1"/>
          <w:numId w:val="3"/>
        </w:numPr>
        <w:ind w:left="576" w:hanging="576"/>
        <w:rPr/>
      </w:pPr>
      <w:bookmarkStart w:colFirst="0" w:colLast="0" w:name="_30j0zll" w:id="2"/>
      <w:bookmarkEnd w:id="2"/>
      <w:r w:rsidDel="00000000" w:rsidR="00000000" w:rsidRPr="00000000">
        <w:rPr>
          <w:rtl w:val="0"/>
        </w:rPr>
        <w:t xml:space="preserve">Visiedocument - Programma van Eisen</w:t>
      </w:r>
    </w:p>
    <w:p w:rsidR="00000000" w:rsidDel="00000000" w:rsidP="00000000" w:rsidRDefault="00000000" w:rsidRPr="00000000" w14:paraId="0000004A">
      <w:pPr>
        <w:rPr/>
      </w:pPr>
      <w:r w:rsidDel="00000000" w:rsidR="00000000" w:rsidRPr="00000000">
        <w:rPr>
          <w:rtl w:val="0"/>
        </w:rPr>
        <w:t xml:space="preserve">De basis voor deze marktconsultatie is een Visiedocument - Programma van Eisen (PvE) dat is opgesteld door een aantal mbo-instellingen ondersteund door saMBO-ICT. In dit PvE wordt een inrichting van de leermiddelenketen met bijbehorende eisen en wensen geschetst, zodanig dat aan een paar belangrijke uitgangspunten tegemoet wordt gekomen.</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Het realiseren van keuzevrijheid voor de student</w:t>
      </w:r>
      <w:r w:rsidDel="00000000" w:rsidR="00000000" w:rsidRPr="00000000">
        <w:rPr>
          <w:b w:val="1"/>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De student kan op basis van een vrij beschikbare leermiddelenlijst bepalen waa</w:t>
      </w:r>
      <w:r w:rsidDel="00000000" w:rsidR="00000000" w:rsidRPr="00000000">
        <w:rPr>
          <w:rtl w:val="0"/>
        </w:rPr>
        <w:t xml:space="preserve">r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leermateriaal wordt gekocht</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Reële kosten voor de student</w:t>
      </w:r>
      <w:r w:rsidDel="00000000" w:rsidR="00000000" w:rsidRPr="00000000">
        <w:rPr>
          <w:rtl w:val="0"/>
        </w:rPr>
        <w:t xml:space="preser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 student betaalt een reële, marktconforme prijs voor leermiddelen (inclusief beta</w:t>
      </w:r>
      <w:r w:rsidDel="00000000" w:rsidR="00000000" w:rsidRPr="00000000">
        <w:rPr>
          <w:rtl w:val="0"/>
        </w:rPr>
        <w:t xml:space="preserve">al- en leveringsvoorwaarden)</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die is </w:t>
      </w:r>
      <w:r w:rsidDel="00000000" w:rsidR="00000000" w:rsidRPr="00000000">
        <w:rPr>
          <w:rtl w:val="0"/>
        </w:rPr>
        <w:t xml:space="preserve">l</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osgekoppeld van andere dienstverlening rondom leermiddelen</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b w:val="1"/>
          <w:i w:val="0"/>
          <w:smallCaps w:val="0"/>
          <w:strike w:val="0"/>
          <w:color w:val="000000"/>
          <w:sz w:val="18"/>
          <w:szCs w:val="18"/>
          <w:u w:val="none"/>
          <w:shd w:fill="auto" w:val="clear"/>
          <w:vertAlign w:val="baseline"/>
          <w:rtl w:val="0"/>
        </w:rPr>
        <w:t xml:space="preserve">Garanderen van de werking van digitaal materiaal</w:t>
      </w:r>
      <w:r w:rsidDel="00000000" w:rsidR="00000000" w:rsidRPr="00000000">
        <w:rPr>
          <w:b w:val="1"/>
          <w:rtl w:val="0"/>
        </w:rPr>
        <w:t xml:space="preserve">.</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Digitaal materiaal werkt goed in de leeromgeving van de school, ongeacht het</w:t>
      </w:r>
      <w:r w:rsidDel="00000000" w:rsidR="00000000" w:rsidRPr="00000000">
        <w:rPr>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kanaal waar het materiaal is gekocht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Een belangrijke aanleiding voor deze eisen en wensen is de noodzaak om te voldoen aan de uitgangspunten die in het juridisch kader zijn gesteld (zie Juridisch kader onderwijsbenodigdheden mbo, Kennisnet en saMBO-ICT versie 1.1, oktober 2018). In het verlengde daarvan is het van belang dat er in de veranderende markt van (digitaal) lesmateriaal voldoende aanbod is, innovatie wordt gestimuleerd en de kosten voor instellingen en de student beperkt blijven.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numPr>
          <w:ilvl w:val="1"/>
          <w:numId w:val="3"/>
        </w:numPr>
        <w:ind w:left="576" w:hanging="576"/>
        <w:rPr/>
      </w:pPr>
      <w:bookmarkStart w:colFirst="0" w:colLast="0" w:name="_1fob9te" w:id="3"/>
      <w:bookmarkEnd w:id="3"/>
      <w:r w:rsidDel="00000000" w:rsidR="00000000" w:rsidRPr="00000000">
        <w:rPr>
          <w:rtl w:val="0"/>
        </w:rPr>
        <w:t xml:space="preserve">Doel van de marktconsultatie, geen inkooptraject.</w:t>
      </w:r>
    </w:p>
    <w:p w:rsidR="00000000" w:rsidDel="00000000" w:rsidP="00000000" w:rsidRDefault="00000000" w:rsidRPr="00000000" w14:paraId="00000052">
      <w:pPr>
        <w:rPr/>
      </w:pPr>
      <w:r w:rsidDel="00000000" w:rsidR="00000000" w:rsidRPr="00000000">
        <w:rPr>
          <w:rtl w:val="0"/>
        </w:rPr>
        <w:t xml:space="preserve">Het doel van de marktconsultatie is in de eerste plaats om in gesprek te komen met de verschillende partijen in de keten over het geschetste toekomstbeeld en de manier waarop dit gerealiseerd kan worden. In dat kader willen we van partijen weten in hoeverre de  geformuleerde eisen en wensen door de ketenpartijen onderschreven worden. Naar aanleiding van de marktconsultatie kan het geschetste toekomstbeeld worden aangescherpt.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i w:val="1"/>
        </w:rPr>
      </w:pPr>
      <w:r w:rsidDel="00000000" w:rsidR="00000000" w:rsidRPr="00000000">
        <w:rPr>
          <w:b w:val="1"/>
          <w:i w:val="1"/>
          <w:rtl w:val="0"/>
        </w:rPr>
        <w:t xml:space="preserve">N.B. Het doel van de marktconsultatie is nadrukkelijk niet om tot selectie of inkoop te komen. Door deelname komen partijen niet in een voorkeurspositie in een eventuele aanbestedingsprocedure of inkooptraject; ook zal deelname niet leiden tot uitsluiting in een dergelijke procedure. Er kunnen uitdrukkelijk geen rechten worden ontleend aan de informatie die ten behoeve van de marktconsultatie wordt verstrekt. De marktconsultatie heeft een vrijblijvend karakter.</w:t>
      </w:r>
    </w:p>
    <w:p w:rsidR="00000000" w:rsidDel="00000000" w:rsidP="00000000" w:rsidRDefault="00000000" w:rsidRPr="00000000" w14:paraId="00000057">
      <w:pPr>
        <w:pStyle w:val="Heading1"/>
        <w:numPr>
          <w:ilvl w:val="0"/>
          <w:numId w:val="3"/>
        </w:numPr>
        <w:ind w:left="432" w:hanging="432"/>
        <w:rPr/>
      </w:pPr>
      <w:bookmarkStart w:colFirst="0" w:colLast="0" w:name="_3znysh7" w:id="4"/>
      <w:bookmarkEnd w:id="4"/>
      <w:r w:rsidDel="00000000" w:rsidR="00000000" w:rsidRPr="00000000">
        <w:rPr>
          <w:rtl w:val="0"/>
        </w:rPr>
        <w:t xml:space="preserve">Marktconsultatie</w:t>
      </w:r>
    </w:p>
    <w:p w:rsidR="00000000" w:rsidDel="00000000" w:rsidP="00000000" w:rsidRDefault="00000000" w:rsidRPr="00000000" w14:paraId="00000058">
      <w:pPr>
        <w:rPr/>
      </w:pPr>
      <w:r w:rsidDel="00000000" w:rsidR="00000000" w:rsidRPr="00000000">
        <w:rPr>
          <w:rtl w:val="0"/>
        </w:rPr>
        <w:t xml:space="preserve">In dit hoofdstuk lichten we de aanpak en procedure voor de marktconsultatie toe.</w:t>
      </w:r>
    </w:p>
    <w:p w:rsidR="00000000" w:rsidDel="00000000" w:rsidP="00000000" w:rsidRDefault="00000000" w:rsidRPr="00000000" w14:paraId="00000059">
      <w:pPr>
        <w:pStyle w:val="Heading2"/>
        <w:numPr>
          <w:ilvl w:val="1"/>
          <w:numId w:val="3"/>
        </w:numPr>
        <w:ind w:left="576" w:hanging="576"/>
        <w:rPr/>
      </w:pPr>
      <w:bookmarkStart w:colFirst="0" w:colLast="0" w:name="_2et92p0" w:id="5"/>
      <w:bookmarkEnd w:id="5"/>
      <w:r w:rsidDel="00000000" w:rsidR="00000000" w:rsidRPr="00000000">
        <w:rPr>
          <w:rtl w:val="0"/>
        </w:rPr>
        <w:t xml:space="preserve">Doelgroep</w:t>
      </w:r>
    </w:p>
    <w:p w:rsidR="00000000" w:rsidDel="00000000" w:rsidP="00000000" w:rsidRDefault="00000000" w:rsidRPr="00000000" w14:paraId="0000005A">
      <w:pPr>
        <w:rPr/>
      </w:pPr>
      <w:r w:rsidDel="00000000" w:rsidR="00000000" w:rsidRPr="00000000">
        <w:rPr>
          <w:rtl w:val="0"/>
        </w:rPr>
        <w:t xml:space="preserve">De marktconsultatie richt zich op alle partijen die een rol in de leermiddelenketen kunnen of willen spelen. Het gaat hierbij met name om de leveranciers van Electronische leeromgevingen, toegangsportalen, distributeurs, kenniscentra en de educatieve uitgevers die actief zijn in de mbo-markt. De uitgevers worden benaderd via de GEU, de brancheorganisatie voor aanbieders van leermiddelen, toetsen en educatieve dienstverlening.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De marktconsultatie wordt gepubliceerd op de site en nieuwsbrief van saMBO-ICT. Daarnaast wordt de marktconsultatie onder de aandacht gebracht van de GEU, VDOD, KBB-E en de ons bekende distributeurs, uitgevers en leveranciers van toegansportalen waarmee saMBO-ICT contacten heeft.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numPr>
          <w:ilvl w:val="1"/>
          <w:numId w:val="3"/>
        </w:numPr>
        <w:ind w:left="576" w:hanging="576"/>
        <w:rPr/>
      </w:pPr>
      <w:bookmarkStart w:colFirst="0" w:colLast="0" w:name="_tyjcwt" w:id="6"/>
      <w:bookmarkEnd w:id="6"/>
      <w:r w:rsidDel="00000000" w:rsidR="00000000" w:rsidRPr="00000000">
        <w:rPr>
          <w:rtl w:val="0"/>
        </w:rPr>
        <w:t xml:space="preserve">Te beantwoorden vragen</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In het kader van deze marktconsultatie worden partijen de volgende vragen voorgelegd.</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highlight w:val="yellow"/>
        </w:rPr>
      </w:pPr>
      <w:r w:rsidDel="00000000" w:rsidR="00000000" w:rsidRPr="00000000">
        <w:rPr>
          <w:highlight w:val="yellow"/>
          <w:rtl w:val="0"/>
        </w:rPr>
        <w:t xml:space="preserve"> </w:t>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Kunt u zich vinden in het geschetste toekomstbeeld en de ambities?</w:t>
      </w:r>
    </w:p>
    <w:p w:rsidR="00000000" w:rsidDel="00000000" w:rsidP="00000000" w:rsidRDefault="00000000" w:rsidRPr="00000000" w14:paraId="00000063">
      <w:pPr>
        <w:numPr>
          <w:ilvl w:val="0"/>
          <w:numId w:val="1"/>
        </w:numPr>
        <w:ind w:left="720" w:hanging="360"/>
        <w:rPr/>
      </w:pPr>
      <w:r w:rsidDel="00000000" w:rsidR="00000000" w:rsidRPr="00000000">
        <w:rPr>
          <w:rtl w:val="0"/>
        </w:rPr>
        <w:t xml:space="preserve">Welke rol ziet u daarin voor uzelf?</w:t>
      </w:r>
    </w:p>
    <w:p w:rsidR="00000000" w:rsidDel="00000000" w:rsidP="00000000" w:rsidRDefault="00000000" w:rsidRPr="00000000" w14:paraId="00000064">
      <w:pPr>
        <w:numPr>
          <w:ilvl w:val="0"/>
          <w:numId w:val="1"/>
        </w:numPr>
        <w:ind w:left="720" w:hanging="360"/>
        <w:rPr/>
      </w:pPr>
      <w:r w:rsidDel="00000000" w:rsidR="00000000" w:rsidRPr="00000000">
        <w:rPr>
          <w:rtl w:val="0"/>
        </w:rPr>
        <w:t xml:space="preserve">Welke belemmeringen en risico’s ziet u?</w:t>
      </w:r>
    </w:p>
    <w:p w:rsidR="00000000" w:rsidDel="00000000" w:rsidP="00000000" w:rsidRDefault="00000000" w:rsidRPr="00000000" w14:paraId="00000065">
      <w:pPr>
        <w:numPr>
          <w:ilvl w:val="0"/>
          <w:numId w:val="1"/>
        </w:numPr>
        <w:ind w:left="720" w:hanging="360"/>
        <w:rPr/>
      </w:pPr>
      <w:r w:rsidDel="00000000" w:rsidR="00000000" w:rsidRPr="00000000">
        <w:rPr>
          <w:rtl w:val="0"/>
        </w:rPr>
        <w:t xml:space="preserve">Wat is er nodig om het geschetste toekomstbeeld te realiseren?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We zijn zowel geïnteresseerd in de technische consequenties als de consequenties voor uw organisatie, de markt en de werking van de keten in het algemeen. Ook alternatieve oplossingen die bijdragen aan de gestelde doelen, kunnen worden aangedragen!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We vragen de leveranciers schriftelijk te reageren op deze vragen. Indien d</w:t>
      </w:r>
      <w:r w:rsidDel="00000000" w:rsidR="00000000" w:rsidRPr="00000000">
        <w:rPr>
          <w:rtl w:val="0"/>
        </w:rPr>
        <w:t xml:space="preserve">e schriftelijke beantwoording van deze vragen hiervoor aanleiding geeft, wordt u vervolgens uitgenodigd voor een toelichtend gesprek.</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numPr>
          <w:ilvl w:val="1"/>
          <w:numId w:val="3"/>
        </w:numPr>
        <w:ind w:left="576" w:hanging="576"/>
        <w:rPr/>
      </w:pPr>
      <w:bookmarkStart w:colFirst="0" w:colLast="0" w:name="_3dy6vkm" w:id="7"/>
      <w:bookmarkEnd w:id="7"/>
      <w:r w:rsidDel="00000000" w:rsidR="00000000" w:rsidRPr="00000000">
        <w:rPr>
          <w:rtl w:val="0"/>
        </w:rPr>
        <w:t xml:space="preserve">Procedure en planning</w:t>
      </w:r>
    </w:p>
    <w:p w:rsidR="00000000" w:rsidDel="00000000" w:rsidP="00000000" w:rsidRDefault="00000000" w:rsidRPr="00000000" w14:paraId="0000006C">
      <w:pPr>
        <w:rPr/>
      </w:pPr>
      <w:r w:rsidDel="00000000" w:rsidR="00000000" w:rsidRPr="00000000">
        <w:rPr>
          <w:rtl w:val="0"/>
        </w:rPr>
        <w:t xml:space="preserve">De procedure en planning voor deze marktconsultatie is als volgt.</w:t>
      </w:r>
    </w:p>
    <w:p w:rsidR="00000000" w:rsidDel="00000000" w:rsidP="00000000" w:rsidRDefault="00000000" w:rsidRPr="00000000" w14:paraId="0000006D">
      <w:pPr>
        <w:rPr/>
      </w:pPr>
      <w:r w:rsidDel="00000000" w:rsidR="00000000" w:rsidRPr="00000000">
        <w:rPr>
          <w:rtl w:val="0"/>
        </w:rPr>
      </w:r>
    </w:p>
    <w:tbl>
      <w:tblPr>
        <w:tblStyle w:val="Table1"/>
        <w:tblW w:w="828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70"/>
        <w:gridCol w:w="5910"/>
        <w:tblGridChange w:id="0">
          <w:tblGrid>
            <w:gridCol w:w="2370"/>
            <w:gridCol w:w="5910"/>
          </w:tblGrid>
        </w:tblGridChange>
      </w:tblGrid>
      <w:tr>
        <w:trPr>
          <w:trHeight w:val="180" w:hRule="atLeast"/>
        </w:trPr>
        <w:tc>
          <w:tcPr/>
          <w:p w:rsidR="00000000" w:rsidDel="00000000" w:rsidP="00000000" w:rsidRDefault="00000000" w:rsidRPr="00000000" w14:paraId="0000006E">
            <w:pPr>
              <w:rPr/>
            </w:pPr>
            <w:r w:rsidDel="00000000" w:rsidR="00000000" w:rsidRPr="00000000">
              <w:rPr>
                <w:b w:val="1"/>
                <w:rtl w:val="0"/>
              </w:rPr>
              <w:t xml:space="preserve">Periode </w:t>
            </w:r>
            <w:r w:rsidDel="00000000" w:rsidR="00000000" w:rsidRPr="00000000">
              <w:rPr>
                <w:rtl w:val="0"/>
              </w:rPr>
            </w:r>
          </w:p>
        </w:tc>
        <w:tc>
          <w:tcPr/>
          <w:p w:rsidR="00000000" w:rsidDel="00000000" w:rsidP="00000000" w:rsidRDefault="00000000" w:rsidRPr="00000000" w14:paraId="0000006F">
            <w:pPr>
              <w:rPr/>
            </w:pPr>
            <w:r w:rsidDel="00000000" w:rsidR="00000000" w:rsidRPr="00000000">
              <w:rPr>
                <w:b w:val="1"/>
                <w:rtl w:val="0"/>
              </w:rPr>
              <w:t xml:space="preserve">Activiteit</w:t>
            </w:r>
            <w:r w:rsidDel="00000000" w:rsidR="00000000" w:rsidRPr="00000000">
              <w:rPr>
                <w:rtl w:val="0"/>
              </w:rPr>
            </w:r>
          </w:p>
        </w:tc>
      </w:tr>
      <w:tr>
        <w:trPr>
          <w:trHeight w:val="180" w:hRule="atLeast"/>
        </w:trPr>
        <w:tc>
          <w:tcPr/>
          <w:p w:rsidR="00000000" w:rsidDel="00000000" w:rsidP="00000000" w:rsidRDefault="00000000" w:rsidRPr="00000000" w14:paraId="00000070">
            <w:pPr>
              <w:rPr/>
            </w:pPr>
            <w:r w:rsidDel="00000000" w:rsidR="00000000" w:rsidRPr="00000000">
              <w:rPr>
                <w:rtl w:val="0"/>
              </w:rPr>
              <w:t xml:space="preserve">15 februari</w:t>
            </w:r>
          </w:p>
        </w:tc>
        <w:tc>
          <w:tcPr/>
          <w:p w:rsidR="00000000" w:rsidDel="00000000" w:rsidP="00000000" w:rsidRDefault="00000000" w:rsidRPr="00000000" w14:paraId="00000071">
            <w:pPr>
              <w:rPr/>
            </w:pPr>
            <w:r w:rsidDel="00000000" w:rsidR="00000000" w:rsidRPr="00000000">
              <w:rPr>
                <w:rtl w:val="0"/>
              </w:rPr>
              <w:t xml:space="preserve">Publicatie marktconsultatie aan relevante partijen</w:t>
            </w:r>
          </w:p>
        </w:tc>
      </w:tr>
      <w:tr>
        <w:trPr>
          <w:trHeight w:val="240" w:hRule="atLeast"/>
        </w:trPr>
        <w:tc>
          <w:tcPr/>
          <w:p w:rsidR="00000000" w:rsidDel="00000000" w:rsidP="00000000" w:rsidRDefault="00000000" w:rsidRPr="00000000" w14:paraId="00000072">
            <w:pPr>
              <w:rPr/>
            </w:pPr>
            <w:r w:rsidDel="00000000" w:rsidR="00000000" w:rsidRPr="00000000">
              <w:rPr>
                <w:rtl w:val="0"/>
              </w:rPr>
              <w:t xml:space="preserve">21 februari</w:t>
            </w:r>
          </w:p>
        </w:tc>
        <w:tc>
          <w:tcPr/>
          <w:p w:rsidR="00000000" w:rsidDel="00000000" w:rsidP="00000000" w:rsidRDefault="00000000" w:rsidRPr="00000000" w14:paraId="00000073">
            <w:pPr>
              <w:rPr/>
            </w:pPr>
            <w:r w:rsidDel="00000000" w:rsidR="00000000" w:rsidRPr="00000000">
              <w:rPr>
                <w:rtl w:val="0"/>
              </w:rPr>
              <w:t xml:space="preserve">Publicatie marktconsultatie in Nieuwsbrief saMBO-ICT</w:t>
            </w:r>
          </w:p>
        </w:tc>
      </w:tr>
      <w:tr>
        <w:trPr>
          <w:trHeight w:val="280" w:hRule="atLeast"/>
        </w:trPr>
        <w:tc>
          <w:tcPr/>
          <w:p w:rsidR="00000000" w:rsidDel="00000000" w:rsidP="00000000" w:rsidRDefault="00000000" w:rsidRPr="00000000" w14:paraId="00000074">
            <w:pPr>
              <w:rPr/>
            </w:pPr>
            <w:r w:rsidDel="00000000" w:rsidR="00000000" w:rsidRPr="00000000">
              <w:rPr>
                <w:rtl w:val="0"/>
              </w:rPr>
              <w:t xml:space="preserve">Tot uiterlijk 8 maart</w:t>
            </w:r>
          </w:p>
        </w:tc>
        <w:tc>
          <w:tcPr/>
          <w:p w:rsidR="00000000" w:rsidDel="00000000" w:rsidP="00000000" w:rsidRDefault="00000000" w:rsidRPr="00000000" w14:paraId="00000075">
            <w:pPr>
              <w:rPr/>
            </w:pPr>
            <w:r w:rsidDel="00000000" w:rsidR="00000000" w:rsidRPr="00000000">
              <w:rPr>
                <w:rtl w:val="0"/>
              </w:rPr>
              <w:t xml:space="preserve">Mogelijkheid tot het stellen van vragen via formulier</w:t>
            </w:r>
          </w:p>
        </w:tc>
      </w:tr>
      <w:tr>
        <w:trPr>
          <w:trHeight w:val="280" w:hRule="atLeast"/>
        </w:trPr>
        <w:tc>
          <w:tcPr/>
          <w:p w:rsidR="00000000" w:rsidDel="00000000" w:rsidP="00000000" w:rsidRDefault="00000000" w:rsidRPr="00000000" w14:paraId="00000076">
            <w:pPr>
              <w:rPr/>
            </w:pPr>
            <w:r w:rsidDel="00000000" w:rsidR="00000000" w:rsidRPr="00000000">
              <w:rPr>
                <w:rtl w:val="0"/>
              </w:rPr>
              <w:t xml:space="preserve">Uiterlijk 15 maart</w:t>
            </w:r>
          </w:p>
        </w:tc>
        <w:tc>
          <w:tcPr/>
          <w:p w:rsidR="00000000" w:rsidDel="00000000" w:rsidP="00000000" w:rsidRDefault="00000000" w:rsidRPr="00000000" w14:paraId="00000077">
            <w:pPr>
              <w:rPr/>
            </w:pPr>
            <w:r w:rsidDel="00000000" w:rsidR="00000000" w:rsidRPr="00000000">
              <w:rPr>
                <w:rtl w:val="0"/>
              </w:rPr>
              <w:t xml:space="preserve">Beantwoording van vragen</w:t>
            </w:r>
          </w:p>
        </w:tc>
      </w:tr>
      <w:tr>
        <w:trPr>
          <w:trHeight w:val="280" w:hRule="atLeast"/>
        </w:trPr>
        <w:tc>
          <w:tcPr/>
          <w:p w:rsidR="00000000" w:rsidDel="00000000" w:rsidP="00000000" w:rsidRDefault="00000000" w:rsidRPr="00000000" w14:paraId="00000078">
            <w:pPr>
              <w:rPr/>
            </w:pPr>
            <w:r w:rsidDel="00000000" w:rsidR="00000000" w:rsidRPr="00000000">
              <w:rPr>
                <w:rtl w:val="0"/>
              </w:rPr>
              <w:t xml:space="preserve">Uiterlijk 22 maart </w:t>
            </w:r>
          </w:p>
        </w:tc>
        <w:tc>
          <w:tcPr/>
          <w:p w:rsidR="00000000" w:rsidDel="00000000" w:rsidP="00000000" w:rsidRDefault="00000000" w:rsidRPr="00000000" w14:paraId="00000079">
            <w:pPr>
              <w:rPr/>
            </w:pPr>
            <w:r w:rsidDel="00000000" w:rsidR="00000000" w:rsidRPr="00000000">
              <w:rPr>
                <w:rtl w:val="0"/>
              </w:rPr>
              <w:t xml:space="preserve">Insturen schriftelijke reactie</w:t>
            </w:r>
          </w:p>
        </w:tc>
      </w:tr>
      <w:tr>
        <w:trPr>
          <w:trHeight w:val="360" w:hRule="atLeast"/>
        </w:trPr>
        <w:tc>
          <w:tcPr/>
          <w:p w:rsidR="00000000" w:rsidDel="00000000" w:rsidP="00000000" w:rsidRDefault="00000000" w:rsidRPr="00000000" w14:paraId="0000007A">
            <w:pPr>
              <w:rPr/>
            </w:pPr>
            <w:r w:rsidDel="00000000" w:rsidR="00000000" w:rsidRPr="00000000">
              <w:rPr>
                <w:rtl w:val="0"/>
              </w:rPr>
              <w:t xml:space="preserve">uiterlijk 29 maart</w:t>
            </w:r>
          </w:p>
        </w:tc>
        <w:tc>
          <w:tcPr/>
          <w:p w:rsidR="00000000" w:rsidDel="00000000" w:rsidP="00000000" w:rsidRDefault="00000000" w:rsidRPr="00000000" w14:paraId="0000007B">
            <w:pPr>
              <w:rPr/>
            </w:pPr>
            <w:r w:rsidDel="00000000" w:rsidR="00000000" w:rsidRPr="00000000">
              <w:rPr>
                <w:rtl w:val="0"/>
              </w:rPr>
              <w:t xml:space="preserve">Eventuele uitnodiging voor een gesprek</w:t>
            </w:r>
          </w:p>
        </w:tc>
      </w:tr>
      <w:tr>
        <w:trPr>
          <w:trHeight w:val="360" w:hRule="atLeast"/>
        </w:trPr>
        <w:tc>
          <w:tcPr/>
          <w:p w:rsidR="00000000" w:rsidDel="00000000" w:rsidP="00000000" w:rsidRDefault="00000000" w:rsidRPr="00000000" w14:paraId="0000007C">
            <w:pPr>
              <w:rPr/>
            </w:pPr>
            <w:r w:rsidDel="00000000" w:rsidR="00000000" w:rsidRPr="00000000">
              <w:rPr>
                <w:rtl w:val="0"/>
              </w:rPr>
              <w:t xml:space="preserve">4 april</w:t>
            </w: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t xml:space="preserve">Eventuele gesprekken met </w:t>
            </w:r>
            <w:r w:rsidDel="00000000" w:rsidR="00000000" w:rsidRPr="00000000">
              <w:rPr>
                <w:rtl w:val="0"/>
              </w:rPr>
              <w:t xml:space="preserve">partijen</w:t>
            </w:r>
            <w:r w:rsidDel="00000000" w:rsidR="00000000" w:rsidRPr="00000000">
              <w:rPr>
                <w:rtl w:val="0"/>
              </w:rPr>
            </w:r>
          </w:p>
        </w:tc>
      </w:tr>
      <w:tr>
        <w:trPr>
          <w:trHeight w:val="540" w:hRule="atLeast"/>
        </w:trPr>
        <w:tc>
          <w:tcPr/>
          <w:p w:rsidR="00000000" w:rsidDel="00000000" w:rsidP="00000000" w:rsidRDefault="00000000" w:rsidRPr="00000000" w14:paraId="0000007E">
            <w:pPr>
              <w:rPr/>
            </w:pPr>
            <w:r w:rsidDel="00000000" w:rsidR="00000000" w:rsidRPr="00000000">
              <w:rPr>
                <w:rtl w:val="0"/>
              </w:rPr>
              <w:t xml:space="preserve">Uiterlijk 19 april</w:t>
            </w:r>
          </w:p>
        </w:tc>
        <w:tc>
          <w:tcPr/>
          <w:p w:rsidR="00000000" w:rsidDel="00000000" w:rsidP="00000000" w:rsidRDefault="00000000" w:rsidRPr="00000000" w14:paraId="0000007F">
            <w:pPr>
              <w:rPr/>
            </w:pPr>
            <w:r w:rsidDel="00000000" w:rsidR="00000000" w:rsidRPr="00000000">
              <w:rPr>
                <w:rtl w:val="0"/>
              </w:rPr>
              <w:t xml:space="preserve">Bijgesteld visiedocument wordt gepubliceerd en gedeeld met de deelnemende partijen</w:t>
            </w:r>
          </w:p>
        </w:tc>
      </w:tr>
    </w:tbl>
    <w:p w:rsidR="00000000" w:rsidDel="00000000" w:rsidP="00000000" w:rsidRDefault="00000000" w:rsidRPr="00000000" w14:paraId="00000080">
      <w:pPr>
        <w:rPr/>
      </w:pPr>
      <w:r w:rsidDel="00000000" w:rsidR="00000000" w:rsidRPr="00000000">
        <w:rPr>
          <w:rtl w:val="0"/>
        </w:rPr>
        <w:br w:type="textWrapping"/>
        <w:t xml:space="preserve">De genoemde data zijn onder voorbehoud van wijzigingen.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u w:val="single"/>
        </w:rPr>
      </w:pPr>
      <w:r w:rsidDel="00000000" w:rsidR="00000000" w:rsidRPr="00000000">
        <w:rPr>
          <w:u w:val="single"/>
          <w:rtl w:val="0"/>
        </w:rPr>
        <w:t xml:space="preserve">Publicatie marktconsultatie</w:t>
      </w:r>
    </w:p>
    <w:p w:rsidR="00000000" w:rsidDel="00000000" w:rsidP="00000000" w:rsidRDefault="00000000" w:rsidRPr="00000000" w14:paraId="00000083">
      <w:pPr>
        <w:rPr/>
      </w:pPr>
      <w:r w:rsidDel="00000000" w:rsidR="00000000" w:rsidRPr="00000000">
        <w:rPr>
          <w:rtl w:val="0"/>
        </w:rPr>
        <w:t xml:space="preserve">Het document voor de marktconsultatie wordt op 15 februari gepubliceerd op de website van saMBO-ICT en beschikbaar gesteld aan de saMBO-ICT contacten van de relevante partijen. De week daarna wordt de marktconsultatie ook via de nieuwsbrief van saMBO-ICT gepubliceerd.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u w:val="single"/>
        </w:rPr>
      </w:pPr>
      <w:r w:rsidDel="00000000" w:rsidR="00000000" w:rsidRPr="00000000">
        <w:rPr>
          <w:u w:val="single"/>
          <w:rtl w:val="0"/>
        </w:rPr>
        <w:t xml:space="preserve">Mogelijkheid tot het stellen van vragen</w:t>
      </w:r>
    </w:p>
    <w:p w:rsidR="00000000" w:rsidDel="00000000" w:rsidP="00000000" w:rsidRDefault="00000000" w:rsidRPr="00000000" w14:paraId="00000086">
      <w:pPr>
        <w:rPr/>
      </w:pPr>
      <w:r w:rsidDel="00000000" w:rsidR="00000000" w:rsidRPr="00000000">
        <w:rPr>
          <w:rtl w:val="0"/>
        </w:rPr>
        <w:t xml:space="preserve">Tot uiterlijk 8 maart is er gelegenheid tot het stellen van vragen over deze marktconsultatie. Op </w:t>
      </w:r>
      <w:hyperlink r:id="rId6">
        <w:r w:rsidDel="00000000" w:rsidR="00000000" w:rsidRPr="00000000">
          <w:rPr>
            <w:color w:val="1155cc"/>
            <w:u w:val="single"/>
            <w:rtl w:val="0"/>
          </w:rPr>
          <w:t xml:space="preserve">www.sambo-ict.nl/toekomstleermiddelenketen</w:t>
        </w:r>
      </w:hyperlink>
      <w:r w:rsidDel="00000000" w:rsidR="00000000" w:rsidRPr="00000000">
        <w:rPr>
          <w:rtl w:val="0"/>
        </w:rPr>
        <w:t xml:space="preserve"> is een link naar het vragenformulier en een (geanonimiseerd) overzicht van eerder gestelde vragen en antwoorden te vinden. </w:t>
      </w:r>
      <w:r w:rsidDel="00000000" w:rsidR="00000000" w:rsidRPr="00000000">
        <w:rPr>
          <w:rtl w:val="0"/>
        </w:rPr>
        <w:t xml:space="preserve">Uiterlijk 15 maart hebben wij deze vragen beantwoord.</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u w:val="single"/>
        </w:rPr>
      </w:pPr>
      <w:r w:rsidDel="00000000" w:rsidR="00000000" w:rsidRPr="00000000">
        <w:rPr>
          <w:u w:val="single"/>
          <w:rtl w:val="0"/>
        </w:rPr>
        <w:t xml:space="preserve">Indienen van de schriftelijke reactie</w:t>
      </w:r>
    </w:p>
    <w:p w:rsidR="00000000" w:rsidDel="00000000" w:rsidP="00000000" w:rsidRDefault="00000000" w:rsidRPr="00000000" w14:paraId="00000089">
      <w:pPr>
        <w:rPr/>
      </w:pPr>
      <w:r w:rsidDel="00000000" w:rsidR="00000000" w:rsidRPr="00000000">
        <w:rPr>
          <w:rtl w:val="0"/>
        </w:rPr>
        <w:t xml:space="preserve">Uiterlijk vrijdag 22 maart kunt u uw schriftelijke reactie op de marktconsultatie indienen. Op </w:t>
      </w:r>
      <w:hyperlink r:id="rId7">
        <w:r w:rsidDel="00000000" w:rsidR="00000000" w:rsidRPr="00000000">
          <w:rPr>
            <w:color w:val="1155cc"/>
            <w:u w:val="single"/>
            <w:rtl w:val="0"/>
          </w:rPr>
          <w:t xml:space="preserve">www.sambo-ict.nl/toekomstleermiddelenketen</w:t>
        </w:r>
      </w:hyperlink>
      <w:r w:rsidDel="00000000" w:rsidR="00000000" w:rsidRPr="00000000">
        <w:rPr>
          <w:rtl w:val="0"/>
        </w:rPr>
        <w:t xml:space="preserve"> vindt u hiervoor instructies.</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u w:val="single"/>
        </w:rPr>
      </w:pPr>
      <w:r w:rsidDel="00000000" w:rsidR="00000000" w:rsidRPr="00000000">
        <w:rPr>
          <w:u w:val="single"/>
          <w:rtl w:val="0"/>
        </w:rPr>
        <w:t xml:space="preserve">Gesprekken</w:t>
      </w:r>
    </w:p>
    <w:p w:rsidR="00000000" w:rsidDel="00000000" w:rsidP="00000000" w:rsidRDefault="00000000" w:rsidRPr="00000000" w14:paraId="0000008C">
      <w:pPr>
        <w:rPr/>
      </w:pPr>
      <w:r w:rsidDel="00000000" w:rsidR="00000000" w:rsidRPr="00000000">
        <w:rPr>
          <w:rtl w:val="0"/>
        </w:rPr>
        <w:t xml:space="preserve">Op </w:t>
      </w:r>
      <w:r w:rsidDel="00000000" w:rsidR="00000000" w:rsidRPr="00000000">
        <w:rPr>
          <w:rtl w:val="0"/>
        </w:rPr>
        <w:t xml:space="preserve">4 april</w:t>
      </w:r>
      <w:r w:rsidDel="00000000" w:rsidR="00000000" w:rsidRPr="00000000">
        <w:rPr>
          <w:rtl w:val="0"/>
        </w:rPr>
        <w:t xml:space="preserve"> a.s. zijn wij voornemens de eventuele </w:t>
      </w:r>
      <w:r w:rsidDel="00000000" w:rsidR="00000000" w:rsidRPr="00000000">
        <w:rPr>
          <w:rtl w:val="0"/>
        </w:rPr>
        <w:t xml:space="preserve">gesprekken te voeren met de verschillende partijen.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Het is niet de bedoeling dat er in het aanvullende gesprek een bedrijfs- of productpresentatie wordt gegeven. We willen graag in gesprek over de geformuleerde vragen.</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u w:val="single"/>
        </w:rPr>
      </w:pPr>
      <w:r w:rsidDel="00000000" w:rsidR="00000000" w:rsidRPr="00000000">
        <w:rPr>
          <w:rtl w:val="0"/>
        </w:rPr>
        <w:t xml:space="preserve">N.B. Deelname aan de marktconsultatie gebeurt op vrijwillige basis; er zal geen vergoeding worden verstrekt voor deelname en ook zal geen vergoeding worden verstrekt voor uit de deelname voortvloeiende onkosten. </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u w:val="single"/>
        </w:rPr>
      </w:pPr>
      <w:r w:rsidDel="00000000" w:rsidR="00000000" w:rsidRPr="00000000">
        <w:rPr>
          <w:u w:val="single"/>
          <w:rtl w:val="0"/>
        </w:rPr>
        <w:t xml:space="preserve">Eindrapportage: bijgesteld visiedocument</w:t>
      </w:r>
    </w:p>
    <w:p w:rsidR="00000000" w:rsidDel="00000000" w:rsidP="00000000" w:rsidRDefault="00000000" w:rsidRPr="00000000" w14:paraId="00000093">
      <w:pPr>
        <w:rPr/>
      </w:pPr>
      <w:r w:rsidDel="00000000" w:rsidR="00000000" w:rsidRPr="00000000">
        <w:rPr>
          <w:rtl w:val="0"/>
        </w:rPr>
        <w:t xml:space="preserve">Uiterlijk 19 april leveren wij een bijgesteld visiedocument op. De individuele reacties die in het kader van deze marktconsultatie zijn gegeven, worden niet gepubliceerd of gedeeld.</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-12699</wp:posOffset>
              </wp:positionV>
              <wp:extent cx="911225" cy="161925"/>
              <wp:effectExtent b="0" l="0" r="0" t="0"/>
              <wp:wrapSquare wrapText="bothSides" distB="0" distT="0" distL="0" distR="0"/>
              <wp:docPr id="1" name=""/>
              <a:graphic>
                <a:graphicData uri="http://schemas.microsoft.com/office/word/2010/wordprocessingShape">
                  <wps:wsp>
                    <wps:cNvSpPr/>
                    <wps:cNvPr id="2" name="Shape 2"/>
                    <wps:spPr>
                      <a:xfrm>
                        <a:off x="4895150" y="3703800"/>
                        <a:ext cx="9017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-12699</wp:posOffset>
              </wp:positionV>
              <wp:extent cx="911225" cy="1619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11225" cy="1619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ind w:right="36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drawing>
        <wp:inline distB="114300" distT="114300" distL="114300" distR="114300">
          <wp:extent cx="1309688" cy="248207"/>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9688" cy="2482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jc w:val="right"/>
      <w:rPr/>
    </w:pPr>
    <w:r w:rsidDel="00000000" w:rsidR="00000000" w:rsidRPr="00000000">
      <w:rPr/>
      <w:drawing>
        <wp:inline distB="114300" distT="114300" distL="114300" distR="114300">
          <wp:extent cx="2361412" cy="45053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61412" cy="45053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b w:val="1"/>
        <w:i w:val="0"/>
        <w:color w:val="6c1869"/>
        <w:sz w:val="26"/>
        <w:szCs w:val="26"/>
      </w:rPr>
    </w:lvl>
    <w:lvl w:ilvl="1">
      <w:start w:val="1"/>
      <w:numFmt w:val="decimal"/>
      <w:lvlText w:val="%1.%2. "/>
      <w:lvlJc w:val="left"/>
      <w:pPr>
        <w:ind w:left="576" w:hanging="576"/>
      </w:pPr>
      <w:rPr/>
    </w:lvl>
    <w:lvl w:ilvl="2">
      <w:start w:val="1"/>
      <w:numFmt w:val="decimal"/>
      <w:lvlText w:val="%1.%2.%3"/>
      <w:lvlJc w:val="left"/>
      <w:pPr>
        <w:ind w:left="720" w:hanging="720"/>
      </w:pPr>
      <w:rPr>
        <w:b w:val="0"/>
        <w:i w:val="0"/>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b w:val="1"/>
      <w:color w:val="6c1869"/>
      <w:sz w:val="26"/>
      <w:szCs w:val="26"/>
    </w:rPr>
  </w:style>
  <w:style w:type="paragraph" w:styleId="Heading2">
    <w:name w:val="heading 2"/>
    <w:basedOn w:val="Normal"/>
    <w:next w:val="Normal"/>
    <w:pPr>
      <w:keepNext w:val="1"/>
      <w:spacing w:after="120" w:before="120" w:lineRule="auto"/>
      <w:ind w:left="578" w:hanging="578"/>
    </w:pPr>
    <w:rPr>
      <w:i w:val="1"/>
      <w:color w:val="636262"/>
      <w:sz w:val="22"/>
      <w:szCs w:val="22"/>
    </w:rPr>
  </w:style>
  <w:style w:type="paragraph" w:styleId="Heading3">
    <w:name w:val="heading 3"/>
    <w:basedOn w:val="Normal"/>
    <w:next w:val="Normal"/>
    <w:pPr>
      <w:keepNext w:val="1"/>
      <w:spacing w:after="120" w:before="120" w:lineRule="auto"/>
      <w:ind w:left="578" w:hanging="578"/>
    </w:pPr>
    <w:rPr>
      <w:i w:val="1"/>
      <w:color w:val="636262"/>
      <w:sz w:val="20"/>
      <w:szCs w:val="20"/>
    </w:rPr>
  </w:style>
  <w:style w:type="paragraph" w:styleId="Heading4">
    <w:name w:val="heading 4"/>
    <w:basedOn w:val="Normal"/>
    <w:next w:val="Normal"/>
    <w:pPr>
      <w:keepNext w:val="1"/>
      <w:tabs>
        <w:tab w:val="left" w:pos="220"/>
        <w:tab w:val="left" w:pos="440"/>
        <w:tab w:val="left" w:pos="660"/>
        <w:tab w:val="left" w:pos="1100"/>
        <w:tab w:val="left" w:pos="1320"/>
        <w:tab w:val="left" w:pos="2160"/>
        <w:tab w:val="left" w:pos="2880"/>
        <w:tab w:val="left" w:pos="3600"/>
        <w:tab w:val="left" w:pos="4320"/>
      </w:tabs>
      <w:spacing w:after="260" w:before="0" w:line="260" w:lineRule="auto"/>
      <w:ind w:left="578" w:hanging="578"/>
    </w:pPr>
    <w:rPr>
      <w:rFonts w:ascii="Times New Roman" w:cs="Times New Roman" w:eastAsia="Times New Roman" w:hAnsi="Times New Roman"/>
      <w:i w:val="1"/>
      <w:color w:val="000000"/>
      <w:sz w:val="20"/>
      <w:szCs w:val="20"/>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ambo-ict.nl/toekomstleermiddelenketen" TargetMode="External"/><Relationship Id="rId7" Type="http://schemas.openxmlformats.org/officeDocument/2006/relationships/hyperlink" Target="http://www.sambo-ict.nl/toekomstleermiddelenketen"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